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D0" w:rsidRPr="005301D0" w:rsidRDefault="00C1217A" w:rsidP="005301D0">
      <w:pPr>
        <w:jc w:val="both"/>
        <w:rPr>
          <w:rFonts w:cs="Times New Roman"/>
          <w:sz w:val="24"/>
          <w:szCs w:val="24"/>
        </w:rPr>
      </w:pPr>
      <w:bookmarkStart w:id="0" w:name="_GoBack"/>
      <w:bookmarkEnd w:id="0"/>
      <w:r w:rsidRPr="005301D0">
        <w:rPr>
          <w:rFonts w:cs="Times New Roman"/>
          <w:sz w:val="24"/>
          <w:szCs w:val="24"/>
        </w:rPr>
        <w:t>Collateral Consequences</w:t>
      </w:r>
      <w:r w:rsidR="002A49AB">
        <w:rPr>
          <w:rFonts w:cs="Times New Roman"/>
          <w:sz w:val="24"/>
          <w:szCs w:val="24"/>
        </w:rPr>
        <w:t xml:space="preserve"> of Sex Offender Registration</w:t>
      </w:r>
    </w:p>
    <w:p w:rsidR="00BB19CE" w:rsidRDefault="00BB19CE" w:rsidP="005301D0">
      <w:pPr>
        <w:jc w:val="both"/>
        <w:rPr>
          <w:rFonts w:cs="Times New Roman"/>
          <w:sz w:val="24"/>
          <w:szCs w:val="24"/>
        </w:rPr>
      </w:pPr>
    </w:p>
    <w:p w:rsidR="004D3C48" w:rsidRPr="005301D0" w:rsidRDefault="00C1217A" w:rsidP="005301D0">
      <w:pPr>
        <w:jc w:val="both"/>
        <w:rPr>
          <w:rFonts w:cs="Times New Roman"/>
          <w:sz w:val="24"/>
          <w:szCs w:val="24"/>
        </w:rPr>
      </w:pPr>
      <w:r w:rsidRPr="005301D0">
        <w:rPr>
          <w:rFonts w:cs="Times New Roman"/>
          <w:sz w:val="24"/>
          <w:szCs w:val="24"/>
        </w:rPr>
        <w:t xml:space="preserve">The </w:t>
      </w:r>
      <w:r w:rsidR="00E62F00" w:rsidRPr="005301D0">
        <w:rPr>
          <w:rFonts w:cs="Times New Roman"/>
          <w:sz w:val="24"/>
          <w:szCs w:val="24"/>
        </w:rPr>
        <w:t>Commission</w:t>
      </w:r>
      <w:r w:rsidR="00494ED8" w:rsidRPr="005301D0">
        <w:rPr>
          <w:rFonts w:cs="Times New Roman"/>
          <w:sz w:val="24"/>
          <w:szCs w:val="24"/>
        </w:rPr>
        <w:t>’s</w:t>
      </w:r>
      <w:r w:rsidR="00E62F00" w:rsidRPr="005301D0">
        <w:rPr>
          <w:rFonts w:cs="Times New Roman"/>
          <w:sz w:val="24"/>
          <w:szCs w:val="24"/>
        </w:rPr>
        <w:t xml:space="preserve"> focus on best practices in sex offender </w:t>
      </w:r>
      <w:r w:rsidR="00076B96" w:rsidRPr="005301D0">
        <w:rPr>
          <w:rFonts w:cs="Times New Roman"/>
          <w:sz w:val="24"/>
          <w:szCs w:val="24"/>
        </w:rPr>
        <w:t>risk level assessment</w:t>
      </w:r>
      <w:r w:rsidR="00E62F00" w:rsidRPr="005301D0">
        <w:rPr>
          <w:rFonts w:cs="Times New Roman"/>
          <w:sz w:val="24"/>
          <w:szCs w:val="24"/>
        </w:rPr>
        <w:t xml:space="preserve"> is grounded in the belief that</w:t>
      </w:r>
      <w:r w:rsidR="00076B96" w:rsidRPr="005301D0">
        <w:rPr>
          <w:rFonts w:cs="Times New Roman"/>
          <w:sz w:val="24"/>
          <w:szCs w:val="24"/>
        </w:rPr>
        <w:t xml:space="preserve"> accurate and current </w:t>
      </w:r>
      <w:r w:rsidR="00C11B67" w:rsidRPr="005301D0">
        <w:rPr>
          <w:rFonts w:cs="Times New Roman"/>
          <w:sz w:val="24"/>
          <w:szCs w:val="24"/>
        </w:rPr>
        <w:t xml:space="preserve">risk assessments are essential to both </w:t>
      </w:r>
      <w:r w:rsidR="00076B96" w:rsidRPr="005301D0">
        <w:rPr>
          <w:rFonts w:cs="Times New Roman"/>
          <w:sz w:val="24"/>
          <w:szCs w:val="24"/>
        </w:rPr>
        <w:t>public safety and</w:t>
      </w:r>
      <w:r w:rsidR="00C11B67" w:rsidRPr="005301D0">
        <w:rPr>
          <w:rFonts w:cs="Times New Roman"/>
          <w:sz w:val="24"/>
          <w:szCs w:val="24"/>
        </w:rPr>
        <w:t xml:space="preserve"> a constitutionally sound process. </w:t>
      </w:r>
      <w:r w:rsidR="00710258" w:rsidRPr="005301D0">
        <w:rPr>
          <w:rFonts w:cs="Times New Roman"/>
          <w:sz w:val="24"/>
          <w:szCs w:val="24"/>
        </w:rPr>
        <w:t xml:space="preserve"> </w:t>
      </w:r>
      <w:r w:rsidR="0094007C" w:rsidRPr="005301D0">
        <w:rPr>
          <w:rFonts w:cs="Times New Roman"/>
          <w:sz w:val="24"/>
          <w:szCs w:val="24"/>
        </w:rPr>
        <w:t>Reliable classifications are</w:t>
      </w:r>
      <w:r w:rsidR="00710258" w:rsidRPr="005301D0">
        <w:rPr>
          <w:rFonts w:cs="Times New Roman"/>
          <w:sz w:val="24"/>
          <w:szCs w:val="24"/>
        </w:rPr>
        <w:t xml:space="preserve"> especially critical given the negative consequences that </w:t>
      </w:r>
      <w:r w:rsidR="00A70582">
        <w:rPr>
          <w:rFonts w:cs="Times New Roman"/>
          <w:sz w:val="24"/>
          <w:szCs w:val="24"/>
        </w:rPr>
        <w:t xml:space="preserve">can </w:t>
      </w:r>
      <w:r w:rsidR="00710258" w:rsidRPr="005301D0">
        <w:rPr>
          <w:rFonts w:cs="Times New Roman"/>
          <w:sz w:val="24"/>
          <w:szCs w:val="24"/>
        </w:rPr>
        <w:t xml:space="preserve">flow from </w:t>
      </w:r>
      <w:r w:rsidR="0000433B" w:rsidRPr="005301D0">
        <w:rPr>
          <w:rFonts w:cs="Times New Roman"/>
          <w:sz w:val="24"/>
          <w:szCs w:val="24"/>
        </w:rPr>
        <w:t xml:space="preserve">the registration and notification </w:t>
      </w:r>
      <w:r w:rsidR="00F03486" w:rsidRPr="005301D0">
        <w:rPr>
          <w:rFonts w:cs="Times New Roman"/>
          <w:sz w:val="24"/>
          <w:szCs w:val="24"/>
        </w:rPr>
        <w:t>process.</w:t>
      </w:r>
      <w:r w:rsidR="001D4058">
        <w:rPr>
          <w:rFonts w:cs="Times New Roman"/>
          <w:sz w:val="24"/>
          <w:szCs w:val="24"/>
        </w:rPr>
        <w:t xml:space="preserve"> </w:t>
      </w:r>
      <w:r w:rsidR="003D492E">
        <w:rPr>
          <w:rFonts w:cs="Times New Roman"/>
          <w:sz w:val="24"/>
          <w:szCs w:val="24"/>
        </w:rPr>
        <w:t>This</w:t>
      </w:r>
      <w:r w:rsidR="004D3C48">
        <w:rPr>
          <w:rFonts w:cs="Times New Roman"/>
          <w:sz w:val="24"/>
          <w:szCs w:val="24"/>
        </w:rPr>
        <w:t xml:space="preserve"> report is based on</w:t>
      </w:r>
      <w:r w:rsidR="003D492E">
        <w:rPr>
          <w:rFonts w:cs="Times New Roman"/>
          <w:sz w:val="24"/>
          <w:szCs w:val="24"/>
        </w:rPr>
        <w:t xml:space="preserve"> national research</w:t>
      </w:r>
      <w:r w:rsidR="00A70582">
        <w:rPr>
          <w:rFonts w:cs="Times New Roman"/>
          <w:sz w:val="24"/>
          <w:szCs w:val="24"/>
        </w:rPr>
        <w:t xml:space="preserve"> findings</w:t>
      </w:r>
      <w:r w:rsidR="003D492E">
        <w:rPr>
          <w:rFonts w:cs="Times New Roman"/>
          <w:sz w:val="24"/>
          <w:szCs w:val="24"/>
        </w:rPr>
        <w:t>,</w:t>
      </w:r>
      <w:r w:rsidR="004D3C48">
        <w:rPr>
          <w:rFonts w:cs="Times New Roman"/>
          <w:sz w:val="24"/>
          <w:szCs w:val="24"/>
        </w:rPr>
        <w:t xml:space="preserve"> testimony presented to the Commission</w:t>
      </w:r>
      <w:r w:rsidR="003D492E">
        <w:rPr>
          <w:rFonts w:cs="Times New Roman"/>
          <w:sz w:val="24"/>
          <w:szCs w:val="24"/>
        </w:rPr>
        <w:t xml:space="preserve"> and Massachusetts case law. </w:t>
      </w:r>
      <w:r w:rsidR="00A70582">
        <w:rPr>
          <w:rFonts w:cs="Times New Roman"/>
          <w:sz w:val="24"/>
          <w:szCs w:val="24"/>
        </w:rPr>
        <w:t xml:space="preserve">Research in this regard specific to Massachusetts has not yet been conducted. </w:t>
      </w:r>
      <w:r w:rsidR="003D492E">
        <w:rPr>
          <w:rFonts w:cs="Times New Roman"/>
          <w:sz w:val="24"/>
          <w:szCs w:val="24"/>
        </w:rPr>
        <w:t>The Commission</w:t>
      </w:r>
      <w:r w:rsidR="00F06BEE">
        <w:rPr>
          <w:rFonts w:cs="Times New Roman"/>
          <w:sz w:val="24"/>
          <w:szCs w:val="24"/>
        </w:rPr>
        <w:t xml:space="preserve"> recommends that </w:t>
      </w:r>
      <w:r w:rsidR="00E512A6">
        <w:rPr>
          <w:rFonts w:cs="Times New Roman"/>
          <w:sz w:val="24"/>
          <w:szCs w:val="24"/>
        </w:rPr>
        <w:t xml:space="preserve">such research be </w:t>
      </w:r>
      <w:r w:rsidR="00A70582">
        <w:rPr>
          <w:rFonts w:cs="Times New Roman"/>
          <w:sz w:val="24"/>
          <w:szCs w:val="24"/>
        </w:rPr>
        <w:t>pursued.</w:t>
      </w:r>
    </w:p>
    <w:p w:rsidR="00710258" w:rsidRPr="005301D0" w:rsidRDefault="00A64BB0" w:rsidP="005301D0">
      <w:pPr>
        <w:jc w:val="both"/>
        <w:rPr>
          <w:rFonts w:cs="Times New Roman"/>
          <w:sz w:val="24"/>
          <w:szCs w:val="24"/>
        </w:rPr>
      </w:pPr>
      <w:r>
        <w:rPr>
          <w:rFonts w:cs="Times New Roman"/>
          <w:sz w:val="24"/>
          <w:szCs w:val="24"/>
        </w:rPr>
        <w:t xml:space="preserve">Many individuals who are </w:t>
      </w:r>
      <w:r w:rsidR="004566FA">
        <w:rPr>
          <w:rFonts w:cs="Times New Roman"/>
          <w:sz w:val="24"/>
          <w:szCs w:val="24"/>
        </w:rPr>
        <w:t>publicly identified as sex offenders</w:t>
      </w:r>
      <w:r>
        <w:rPr>
          <w:rFonts w:cs="Times New Roman"/>
          <w:sz w:val="24"/>
          <w:szCs w:val="24"/>
        </w:rPr>
        <w:t xml:space="preserve"> have difficulty securing </w:t>
      </w:r>
      <w:r w:rsidR="00D259A4">
        <w:rPr>
          <w:rFonts w:cs="Times New Roman"/>
          <w:sz w:val="24"/>
          <w:szCs w:val="24"/>
        </w:rPr>
        <w:t>employment and housing</w:t>
      </w:r>
      <w:r w:rsidR="004566FA">
        <w:rPr>
          <w:rFonts w:cs="Times New Roman"/>
          <w:sz w:val="24"/>
          <w:szCs w:val="24"/>
        </w:rPr>
        <w:t>,</w:t>
      </w:r>
      <w:r w:rsidR="00CE7C15">
        <w:rPr>
          <w:rFonts w:cs="Times New Roman"/>
          <w:sz w:val="24"/>
          <w:szCs w:val="24"/>
        </w:rPr>
        <w:t xml:space="preserve"> </w:t>
      </w:r>
      <w:r>
        <w:rPr>
          <w:rFonts w:cs="Times New Roman"/>
          <w:sz w:val="24"/>
          <w:szCs w:val="24"/>
        </w:rPr>
        <w:t xml:space="preserve">and </w:t>
      </w:r>
      <w:r w:rsidR="004566FA">
        <w:rPr>
          <w:rFonts w:cs="Times New Roman"/>
          <w:sz w:val="24"/>
          <w:szCs w:val="24"/>
        </w:rPr>
        <w:t xml:space="preserve">find that their </w:t>
      </w:r>
      <w:r w:rsidR="00D259A4">
        <w:rPr>
          <w:rFonts w:cs="Times New Roman"/>
          <w:sz w:val="24"/>
          <w:szCs w:val="24"/>
        </w:rPr>
        <w:t xml:space="preserve">social, emotional </w:t>
      </w:r>
      <w:r w:rsidR="00CE7C15">
        <w:rPr>
          <w:rFonts w:cs="Times New Roman"/>
          <w:sz w:val="24"/>
          <w:szCs w:val="24"/>
        </w:rPr>
        <w:t>and physical well-</w:t>
      </w:r>
      <w:r w:rsidR="00D259A4">
        <w:rPr>
          <w:rFonts w:cs="Times New Roman"/>
          <w:sz w:val="24"/>
          <w:szCs w:val="24"/>
        </w:rPr>
        <w:t>being</w:t>
      </w:r>
      <w:r w:rsidR="004566FA">
        <w:rPr>
          <w:rFonts w:cs="Times New Roman"/>
          <w:sz w:val="24"/>
          <w:szCs w:val="24"/>
        </w:rPr>
        <w:t xml:space="preserve"> is compromised</w:t>
      </w:r>
      <w:r w:rsidR="00D259A4">
        <w:rPr>
          <w:rFonts w:cs="Times New Roman"/>
          <w:sz w:val="24"/>
          <w:szCs w:val="24"/>
        </w:rPr>
        <w:t xml:space="preserve">.  </w:t>
      </w:r>
      <w:r w:rsidR="005301D0">
        <w:rPr>
          <w:rFonts w:cs="Times New Roman"/>
          <w:sz w:val="24"/>
          <w:szCs w:val="24"/>
        </w:rPr>
        <w:t xml:space="preserve"> </w:t>
      </w:r>
      <w:r w:rsidR="000A1180" w:rsidRPr="005301D0">
        <w:rPr>
          <w:rFonts w:cs="Times New Roman"/>
          <w:sz w:val="24"/>
          <w:szCs w:val="24"/>
        </w:rPr>
        <w:t xml:space="preserve">The impact of these laws on </w:t>
      </w:r>
      <w:r w:rsidR="00BC21D6" w:rsidRPr="005301D0">
        <w:rPr>
          <w:rFonts w:cs="Times New Roman"/>
          <w:sz w:val="24"/>
          <w:szCs w:val="24"/>
        </w:rPr>
        <w:t>youth</w:t>
      </w:r>
      <w:r w:rsidR="000A1180" w:rsidRPr="005301D0">
        <w:rPr>
          <w:rFonts w:cs="Times New Roman"/>
          <w:sz w:val="24"/>
          <w:szCs w:val="24"/>
        </w:rPr>
        <w:t xml:space="preserve"> </w:t>
      </w:r>
      <w:r w:rsidR="00A70582">
        <w:rPr>
          <w:rFonts w:cs="Times New Roman"/>
          <w:sz w:val="24"/>
          <w:szCs w:val="24"/>
        </w:rPr>
        <w:t>can be</w:t>
      </w:r>
      <w:r w:rsidR="000A1180" w:rsidRPr="005301D0">
        <w:rPr>
          <w:rFonts w:cs="Times New Roman"/>
          <w:sz w:val="24"/>
          <w:szCs w:val="24"/>
        </w:rPr>
        <w:t xml:space="preserve"> </w:t>
      </w:r>
      <w:r>
        <w:rPr>
          <w:rFonts w:cs="Times New Roman"/>
          <w:sz w:val="24"/>
          <w:szCs w:val="24"/>
        </w:rPr>
        <w:t>especially</w:t>
      </w:r>
      <w:r w:rsidR="00BC21D6" w:rsidRPr="005301D0">
        <w:rPr>
          <w:rFonts w:cs="Times New Roman"/>
          <w:sz w:val="24"/>
          <w:szCs w:val="24"/>
        </w:rPr>
        <w:t xml:space="preserve"> </w:t>
      </w:r>
      <w:r w:rsidR="000A1180" w:rsidRPr="005301D0">
        <w:rPr>
          <w:rFonts w:cs="Times New Roman"/>
          <w:sz w:val="24"/>
          <w:szCs w:val="24"/>
        </w:rPr>
        <w:t xml:space="preserve">severe. </w:t>
      </w:r>
      <w:r w:rsidR="00361446" w:rsidRPr="005301D0">
        <w:rPr>
          <w:sz w:val="24"/>
          <w:szCs w:val="24"/>
        </w:rPr>
        <w:t xml:space="preserve">Because of their developing brains and susceptibility to outside pressures, </w:t>
      </w:r>
      <w:r w:rsidR="000A1180" w:rsidRPr="005301D0">
        <w:rPr>
          <w:sz w:val="24"/>
          <w:szCs w:val="24"/>
        </w:rPr>
        <w:t xml:space="preserve">the humiliation of </w:t>
      </w:r>
      <w:r w:rsidR="00361446" w:rsidRPr="005301D0">
        <w:rPr>
          <w:sz w:val="24"/>
          <w:szCs w:val="24"/>
        </w:rPr>
        <w:t xml:space="preserve">being labeled </w:t>
      </w:r>
      <w:r w:rsidR="00037B63">
        <w:rPr>
          <w:sz w:val="24"/>
          <w:szCs w:val="24"/>
        </w:rPr>
        <w:t xml:space="preserve">as </w:t>
      </w:r>
      <w:r w:rsidR="00361446" w:rsidRPr="005301D0">
        <w:rPr>
          <w:sz w:val="24"/>
          <w:szCs w:val="24"/>
        </w:rPr>
        <w:t xml:space="preserve">a sex offender can </w:t>
      </w:r>
      <w:r w:rsidR="000A1180" w:rsidRPr="005301D0">
        <w:rPr>
          <w:sz w:val="24"/>
          <w:szCs w:val="24"/>
        </w:rPr>
        <w:t xml:space="preserve">be </w:t>
      </w:r>
      <w:r w:rsidR="00BC21D6" w:rsidRPr="005301D0">
        <w:rPr>
          <w:sz w:val="24"/>
          <w:szCs w:val="24"/>
        </w:rPr>
        <w:t>alienating and destabilizing, undermining rather than supporting rehabilitation efforts</w:t>
      </w:r>
      <w:r w:rsidR="000A1180" w:rsidRPr="005301D0">
        <w:rPr>
          <w:sz w:val="24"/>
          <w:szCs w:val="24"/>
        </w:rPr>
        <w:t>.</w:t>
      </w:r>
      <w:r w:rsidR="000A1180" w:rsidRPr="005301D0">
        <w:rPr>
          <w:rStyle w:val="EndnoteReference"/>
          <w:sz w:val="24"/>
          <w:szCs w:val="24"/>
        </w:rPr>
        <w:endnoteReference w:id="1"/>
      </w:r>
      <w:r w:rsidR="000A1180" w:rsidRPr="005301D0">
        <w:rPr>
          <w:sz w:val="24"/>
          <w:szCs w:val="24"/>
        </w:rPr>
        <w:t xml:space="preserve"> </w:t>
      </w:r>
      <w:r w:rsidR="00037B63">
        <w:rPr>
          <w:rFonts w:cs="Times New Roman"/>
          <w:sz w:val="24"/>
          <w:szCs w:val="24"/>
        </w:rPr>
        <w:t>Other</w:t>
      </w:r>
      <w:r w:rsidR="00FA21F1" w:rsidRPr="005301D0">
        <w:rPr>
          <w:rFonts w:cs="Times New Roman"/>
          <w:sz w:val="24"/>
          <w:szCs w:val="24"/>
        </w:rPr>
        <w:t xml:space="preserve"> </w:t>
      </w:r>
      <w:r w:rsidR="004566FA">
        <w:rPr>
          <w:rFonts w:cs="Times New Roman"/>
          <w:sz w:val="24"/>
          <w:szCs w:val="24"/>
        </w:rPr>
        <w:t>e</w:t>
      </w:r>
      <w:r w:rsidR="00BC21D6" w:rsidRPr="005301D0">
        <w:rPr>
          <w:rFonts w:cs="Times New Roman"/>
          <w:sz w:val="24"/>
          <w:szCs w:val="24"/>
        </w:rPr>
        <w:t>ffect</w:t>
      </w:r>
      <w:r w:rsidR="005052AF">
        <w:rPr>
          <w:rFonts w:cs="Times New Roman"/>
          <w:sz w:val="24"/>
          <w:szCs w:val="24"/>
        </w:rPr>
        <w:t>s</w:t>
      </w:r>
      <w:r w:rsidR="00D642F9" w:rsidRPr="005301D0">
        <w:rPr>
          <w:rFonts w:cs="Times New Roman"/>
          <w:sz w:val="24"/>
          <w:szCs w:val="24"/>
        </w:rPr>
        <w:t xml:space="preserve"> of registration, classification and notification</w:t>
      </w:r>
      <w:r w:rsidR="00BC21D6" w:rsidRPr="005301D0">
        <w:rPr>
          <w:rFonts w:cs="Times New Roman"/>
          <w:sz w:val="24"/>
          <w:szCs w:val="24"/>
        </w:rPr>
        <w:t xml:space="preserve"> on youth</w:t>
      </w:r>
      <w:r w:rsidR="00766160" w:rsidRPr="005301D0">
        <w:rPr>
          <w:rFonts w:cs="Times New Roman"/>
          <w:sz w:val="24"/>
          <w:szCs w:val="24"/>
        </w:rPr>
        <w:t xml:space="preserve"> </w:t>
      </w:r>
      <w:r w:rsidR="00BC21D6" w:rsidRPr="005301D0">
        <w:rPr>
          <w:rFonts w:cs="Times New Roman"/>
          <w:sz w:val="24"/>
          <w:szCs w:val="24"/>
        </w:rPr>
        <w:t>may</w:t>
      </w:r>
      <w:r w:rsidR="00766160" w:rsidRPr="005301D0">
        <w:rPr>
          <w:rFonts w:cs="Times New Roman"/>
          <w:sz w:val="24"/>
          <w:szCs w:val="24"/>
        </w:rPr>
        <w:t xml:space="preserve"> include</w:t>
      </w:r>
      <w:r w:rsidR="001D4058">
        <w:rPr>
          <w:rFonts w:cs="Times New Roman"/>
          <w:sz w:val="24"/>
          <w:szCs w:val="24"/>
        </w:rPr>
        <w:t>:</w:t>
      </w:r>
    </w:p>
    <w:p w:rsidR="00710258" w:rsidRPr="005301D0" w:rsidRDefault="00FA21F1" w:rsidP="005301D0">
      <w:pPr>
        <w:pStyle w:val="ListParagraph"/>
        <w:numPr>
          <w:ilvl w:val="0"/>
          <w:numId w:val="1"/>
        </w:numPr>
        <w:tabs>
          <w:tab w:val="left" w:pos="1440"/>
        </w:tabs>
        <w:ind w:left="1260" w:hanging="270"/>
        <w:jc w:val="both"/>
        <w:rPr>
          <w:rFonts w:cs="Times New Roman"/>
          <w:sz w:val="24"/>
          <w:szCs w:val="24"/>
        </w:rPr>
      </w:pPr>
      <w:r w:rsidRPr="005301D0">
        <w:rPr>
          <w:rFonts w:cs="Times New Roman"/>
          <w:sz w:val="24"/>
          <w:szCs w:val="24"/>
        </w:rPr>
        <w:t>Stunted</w:t>
      </w:r>
      <w:r w:rsidR="00BC21D6" w:rsidRPr="005301D0">
        <w:rPr>
          <w:rFonts w:cs="Times New Roman"/>
          <w:sz w:val="24"/>
          <w:szCs w:val="24"/>
        </w:rPr>
        <w:t xml:space="preserve"> development of</w:t>
      </w:r>
      <w:r w:rsidR="00710258" w:rsidRPr="005301D0">
        <w:rPr>
          <w:rFonts w:cs="Times New Roman"/>
          <w:sz w:val="24"/>
          <w:szCs w:val="24"/>
        </w:rPr>
        <w:t xml:space="preserve"> healthy social </w:t>
      </w:r>
      <w:r w:rsidR="00BC21D6" w:rsidRPr="005301D0">
        <w:rPr>
          <w:rFonts w:cs="Times New Roman"/>
          <w:sz w:val="24"/>
          <w:szCs w:val="24"/>
        </w:rPr>
        <w:t>relationships</w:t>
      </w:r>
      <w:r w:rsidR="00710258" w:rsidRPr="005301D0">
        <w:rPr>
          <w:rFonts w:cs="Times New Roman"/>
          <w:sz w:val="24"/>
          <w:szCs w:val="24"/>
        </w:rPr>
        <w:t xml:space="preserve"> </w:t>
      </w:r>
      <w:r w:rsidR="00BC21D6" w:rsidRPr="005301D0">
        <w:rPr>
          <w:rFonts w:cs="Times New Roman"/>
          <w:sz w:val="24"/>
          <w:szCs w:val="24"/>
        </w:rPr>
        <w:t xml:space="preserve">and </w:t>
      </w:r>
      <w:r w:rsidRPr="005301D0">
        <w:rPr>
          <w:rFonts w:cs="Times New Roman"/>
          <w:sz w:val="24"/>
          <w:szCs w:val="24"/>
        </w:rPr>
        <w:t>the alienation of</w:t>
      </w:r>
      <w:r w:rsidR="00D642F9" w:rsidRPr="005301D0">
        <w:rPr>
          <w:rFonts w:cs="Times New Roman"/>
          <w:sz w:val="24"/>
          <w:szCs w:val="24"/>
        </w:rPr>
        <w:t xml:space="preserve"> youth </w:t>
      </w:r>
      <w:r w:rsidRPr="005301D0">
        <w:rPr>
          <w:rFonts w:cs="Times New Roman"/>
          <w:sz w:val="24"/>
          <w:szCs w:val="24"/>
        </w:rPr>
        <w:t>by</w:t>
      </w:r>
      <w:r w:rsidR="00D642F9" w:rsidRPr="005301D0">
        <w:rPr>
          <w:rFonts w:cs="Times New Roman"/>
          <w:sz w:val="24"/>
          <w:szCs w:val="24"/>
        </w:rPr>
        <w:t xml:space="preserve"> </w:t>
      </w:r>
      <w:r w:rsidR="00710258" w:rsidRPr="005301D0">
        <w:rPr>
          <w:rFonts w:cs="Times New Roman"/>
          <w:sz w:val="24"/>
          <w:szCs w:val="24"/>
        </w:rPr>
        <w:t xml:space="preserve"> peer</w:t>
      </w:r>
      <w:r w:rsidR="003C06F3">
        <w:rPr>
          <w:rFonts w:cs="Times New Roman"/>
          <w:sz w:val="24"/>
          <w:szCs w:val="24"/>
        </w:rPr>
        <w:t>s</w:t>
      </w:r>
      <w:r w:rsidR="00710258" w:rsidRPr="005301D0">
        <w:rPr>
          <w:rFonts w:cs="Times New Roman"/>
          <w:sz w:val="24"/>
          <w:szCs w:val="24"/>
        </w:rPr>
        <w:t xml:space="preserve"> and family</w:t>
      </w:r>
      <w:r w:rsidR="00D642F9" w:rsidRPr="005301D0">
        <w:rPr>
          <w:rFonts w:cs="Times New Roman"/>
          <w:sz w:val="24"/>
          <w:szCs w:val="24"/>
        </w:rPr>
        <w:t>;</w:t>
      </w:r>
    </w:p>
    <w:p w:rsidR="00710258" w:rsidRPr="005301D0" w:rsidRDefault="004566FA" w:rsidP="005301D0">
      <w:pPr>
        <w:pStyle w:val="ListParagraph"/>
        <w:numPr>
          <w:ilvl w:val="0"/>
          <w:numId w:val="1"/>
        </w:numPr>
        <w:tabs>
          <w:tab w:val="left" w:pos="1440"/>
        </w:tabs>
        <w:ind w:left="1260" w:hanging="270"/>
        <w:jc w:val="both"/>
        <w:rPr>
          <w:rFonts w:cs="Times New Roman"/>
          <w:sz w:val="24"/>
          <w:szCs w:val="24"/>
        </w:rPr>
      </w:pPr>
      <w:r w:rsidRPr="005301D0">
        <w:rPr>
          <w:rFonts w:cs="Times New Roman"/>
          <w:sz w:val="24"/>
          <w:szCs w:val="24"/>
        </w:rPr>
        <w:t>C</w:t>
      </w:r>
      <w:r w:rsidR="00710258" w:rsidRPr="005301D0">
        <w:rPr>
          <w:rFonts w:cs="Times New Roman"/>
          <w:sz w:val="24"/>
          <w:szCs w:val="24"/>
        </w:rPr>
        <w:t>reati</w:t>
      </w:r>
      <w:r>
        <w:rPr>
          <w:rFonts w:cs="Times New Roman"/>
          <w:sz w:val="24"/>
          <w:szCs w:val="24"/>
        </w:rPr>
        <w:t>on of</w:t>
      </w:r>
      <w:r w:rsidR="00710258" w:rsidRPr="005301D0">
        <w:rPr>
          <w:rFonts w:cs="Times New Roman"/>
          <w:sz w:val="24"/>
          <w:szCs w:val="24"/>
        </w:rPr>
        <w:t xml:space="preserve"> overwhelming barriers to educational and employment opportunities;</w:t>
      </w:r>
    </w:p>
    <w:p w:rsidR="00710258" w:rsidRPr="005301D0" w:rsidRDefault="004566FA" w:rsidP="005301D0">
      <w:pPr>
        <w:pStyle w:val="ListParagraph"/>
        <w:numPr>
          <w:ilvl w:val="0"/>
          <w:numId w:val="1"/>
        </w:numPr>
        <w:tabs>
          <w:tab w:val="left" w:pos="1440"/>
        </w:tabs>
        <w:ind w:left="1260" w:hanging="270"/>
        <w:jc w:val="both"/>
        <w:rPr>
          <w:rFonts w:cs="Times New Roman"/>
          <w:sz w:val="24"/>
          <w:szCs w:val="24"/>
        </w:rPr>
      </w:pPr>
      <w:r>
        <w:rPr>
          <w:rFonts w:cs="Times New Roman"/>
          <w:sz w:val="24"/>
          <w:szCs w:val="24"/>
        </w:rPr>
        <w:t>E</w:t>
      </w:r>
      <w:r w:rsidR="00710258" w:rsidRPr="005301D0">
        <w:rPr>
          <w:rFonts w:cs="Times New Roman"/>
          <w:sz w:val="24"/>
          <w:szCs w:val="24"/>
        </w:rPr>
        <w:t>xacerbat</w:t>
      </w:r>
      <w:r w:rsidR="003C06F3">
        <w:rPr>
          <w:rFonts w:cs="Times New Roman"/>
          <w:sz w:val="24"/>
          <w:szCs w:val="24"/>
        </w:rPr>
        <w:t>ion of</w:t>
      </w:r>
      <w:r w:rsidR="00710258" w:rsidRPr="005301D0">
        <w:rPr>
          <w:rFonts w:cs="Times New Roman"/>
          <w:sz w:val="24"/>
          <w:szCs w:val="24"/>
        </w:rPr>
        <w:t xml:space="preserve"> psychological difficulties; </w:t>
      </w:r>
    </w:p>
    <w:p w:rsidR="00710258" w:rsidRPr="005301D0" w:rsidRDefault="004566FA" w:rsidP="005301D0">
      <w:pPr>
        <w:pStyle w:val="ListParagraph"/>
        <w:numPr>
          <w:ilvl w:val="0"/>
          <w:numId w:val="1"/>
        </w:numPr>
        <w:tabs>
          <w:tab w:val="left" w:pos="1440"/>
        </w:tabs>
        <w:ind w:left="1260" w:hanging="270"/>
        <w:jc w:val="both"/>
        <w:rPr>
          <w:rFonts w:cs="Times New Roman"/>
          <w:sz w:val="24"/>
          <w:szCs w:val="24"/>
        </w:rPr>
      </w:pPr>
      <w:r>
        <w:rPr>
          <w:rFonts w:cs="Times New Roman"/>
          <w:sz w:val="24"/>
          <w:szCs w:val="24"/>
        </w:rPr>
        <w:t>P</w:t>
      </w:r>
      <w:r w:rsidR="00710258" w:rsidRPr="005301D0">
        <w:rPr>
          <w:rFonts w:cs="Times New Roman"/>
          <w:sz w:val="24"/>
          <w:szCs w:val="24"/>
        </w:rPr>
        <w:t>hysical harm as a result of suicide attempts and violence at the hands of vigilantes and harassment.</w:t>
      </w:r>
      <w:r w:rsidR="00E874CC">
        <w:rPr>
          <w:rStyle w:val="EndnoteReference"/>
          <w:rFonts w:cs="Times New Roman"/>
          <w:sz w:val="24"/>
          <w:szCs w:val="24"/>
        </w:rPr>
        <w:endnoteReference w:id="2"/>
      </w:r>
    </w:p>
    <w:p w:rsidR="00D642F9" w:rsidRPr="005301D0" w:rsidRDefault="005052AF" w:rsidP="00823530">
      <w:pPr>
        <w:jc w:val="both"/>
        <w:rPr>
          <w:rFonts w:cs="Times New Roman"/>
          <w:sz w:val="24"/>
          <w:szCs w:val="24"/>
        </w:rPr>
      </w:pPr>
      <w:r w:rsidRPr="005301D0">
        <w:rPr>
          <w:sz w:val="24"/>
          <w:szCs w:val="24"/>
        </w:rPr>
        <w:t>Registration</w:t>
      </w:r>
      <w:r w:rsidR="002A49AB">
        <w:rPr>
          <w:sz w:val="24"/>
          <w:szCs w:val="24"/>
        </w:rPr>
        <w:t xml:space="preserve"> may </w:t>
      </w:r>
      <w:r w:rsidR="00A70582">
        <w:rPr>
          <w:sz w:val="24"/>
          <w:szCs w:val="24"/>
        </w:rPr>
        <w:t xml:space="preserve">also </w:t>
      </w:r>
      <w:r w:rsidR="002A49AB">
        <w:rPr>
          <w:sz w:val="24"/>
          <w:szCs w:val="24"/>
        </w:rPr>
        <w:t>have the unintended consequence of increasing “</w:t>
      </w:r>
      <w:r w:rsidR="00F819B9" w:rsidRPr="005301D0">
        <w:rPr>
          <w:sz w:val="24"/>
          <w:szCs w:val="24"/>
        </w:rPr>
        <w:t>the likelihood of future criminal behavior</w:t>
      </w:r>
      <w:r w:rsidR="00F819B9">
        <w:rPr>
          <w:sz w:val="24"/>
          <w:szCs w:val="24"/>
        </w:rPr>
        <w:t>” by</w:t>
      </w:r>
      <w:r>
        <w:rPr>
          <w:sz w:val="24"/>
          <w:szCs w:val="24"/>
        </w:rPr>
        <w:t xml:space="preserve"> “</w:t>
      </w:r>
      <w:r w:rsidRPr="005301D0">
        <w:rPr>
          <w:sz w:val="24"/>
          <w:szCs w:val="24"/>
        </w:rPr>
        <w:t>restrict</w:t>
      </w:r>
      <w:r w:rsidR="00A02731">
        <w:rPr>
          <w:sz w:val="24"/>
          <w:szCs w:val="24"/>
        </w:rPr>
        <w:t>[</w:t>
      </w:r>
      <w:proofErr w:type="spellStart"/>
      <w:r w:rsidR="00A02731">
        <w:rPr>
          <w:sz w:val="24"/>
          <w:szCs w:val="24"/>
        </w:rPr>
        <w:t>ing</w:t>
      </w:r>
      <w:proofErr w:type="spellEnd"/>
      <w:r w:rsidR="00A02731">
        <w:rPr>
          <w:sz w:val="24"/>
          <w:szCs w:val="24"/>
        </w:rPr>
        <w:t>]</w:t>
      </w:r>
      <w:r w:rsidR="002A49AB">
        <w:rPr>
          <w:sz w:val="24"/>
          <w:szCs w:val="24"/>
        </w:rPr>
        <w:t xml:space="preserve"> </w:t>
      </w:r>
      <w:r w:rsidRPr="005301D0">
        <w:rPr>
          <w:sz w:val="24"/>
          <w:szCs w:val="24"/>
        </w:rPr>
        <w:t>adolescents from the prosocial activities and developmentally appropriate affiliations that are necessary for normal, successful transitions from adolescence into a</w:t>
      </w:r>
      <w:r w:rsidR="00F819B9">
        <w:rPr>
          <w:sz w:val="24"/>
          <w:szCs w:val="24"/>
        </w:rPr>
        <w:t>dulthood.”</w:t>
      </w:r>
      <w:r w:rsidRPr="005301D0">
        <w:rPr>
          <w:rStyle w:val="EndnoteReference"/>
          <w:sz w:val="24"/>
          <w:szCs w:val="24"/>
        </w:rPr>
        <w:endnoteReference w:id="3"/>
      </w:r>
      <w:r w:rsidR="00A31B63">
        <w:rPr>
          <w:sz w:val="24"/>
          <w:szCs w:val="24"/>
        </w:rPr>
        <w:t xml:space="preserve"> </w:t>
      </w:r>
      <w:r w:rsidR="00F7651A">
        <w:rPr>
          <w:rFonts w:cs="Times New Roman"/>
          <w:sz w:val="24"/>
          <w:szCs w:val="24"/>
        </w:rPr>
        <w:t xml:space="preserve">Children </w:t>
      </w:r>
      <w:r w:rsidR="00CD66B0">
        <w:rPr>
          <w:rFonts w:cs="Times New Roman"/>
          <w:sz w:val="24"/>
          <w:szCs w:val="24"/>
        </w:rPr>
        <w:t xml:space="preserve">are </w:t>
      </w:r>
      <w:r w:rsidR="00F7651A">
        <w:rPr>
          <w:rFonts w:cs="Times New Roman"/>
          <w:sz w:val="24"/>
          <w:szCs w:val="24"/>
        </w:rPr>
        <w:t xml:space="preserve">further </w:t>
      </w:r>
      <w:r w:rsidR="00CD66B0">
        <w:rPr>
          <w:rFonts w:cs="Times New Roman"/>
          <w:sz w:val="24"/>
          <w:szCs w:val="24"/>
        </w:rPr>
        <w:t xml:space="preserve">impacted when </w:t>
      </w:r>
      <w:r w:rsidR="00F7651A">
        <w:rPr>
          <w:rFonts w:cs="Times New Roman"/>
          <w:sz w:val="24"/>
          <w:szCs w:val="24"/>
        </w:rPr>
        <w:t>their families</w:t>
      </w:r>
      <w:r w:rsidR="00CD66B0">
        <w:rPr>
          <w:rFonts w:cs="Times New Roman"/>
          <w:sz w:val="24"/>
          <w:szCs w:val="24"/>
        </w:rPr>
        <w:t xml:space="preserve"> </w:t>
      </w:r>
      <w:r w:rsidR="00D642F9" w:rsidRPr="005301D0">
        <w:rPr>
          <w:rFonts w:cs="Times New Roman"/>
          <w:sz w:val="24"/>
          <w:szCs w:val="24"/>
        </w:rPr>
        <w:t xml:space="preserve">experience increased fiscal strain, </w:t>
      </w:r>
      <w:r w:rsidR="00FA21F1" w:rsidRPr="005301D0">
        <w:rPr>
          <w:rFonts w:cs="Times New Roman"/>
          <w:sz w:val="24"/>
          <w:szCs w:val="24"/>
        </w:rPr>
        <w:t>difficulty</w:t>
      </w:r>
      <w:r w:rsidR="00D642F9" w:rsidRPr="005301D0">
        <w:rPr>
          <w:rFonts w:cs="Times New Roman"/>
          <w:sz w:val="24"/>
          <w:szCs w:val="24"/>
        </w:rPr>
        <w:t xml:space="preserve"> </w:t>
      </w:r>
      <w:r w:rsidR="004566FA">
        <w:rPr>
          <w:rFonts w:cs="Times New Roman"/>
          <w:sz w:val="24"/>
          <w:szCs w:val="24"/>
        </w:rPr>
        <w:t>finding</w:t>
      </w:r>
      <w:r w:rsidR="00D642F9" w:rsidRPr="005301D0">
        <w:rPr>
          <w:rFonts w:cs="Times New Roman"/>
          <w:sz w:val="24"/>
          <w:szCs w:val="24"/>
        </w:rPr>
        <w:t xml:space="preserve"> and</w:t>
      </w:r>
      <w:r w:rsidR="004D23D7">
        <w:rPr>
          <w:rFonts w:cs="Times New Roman"/>
          <w:sz w:val="24"/>
          <w:szCs w:val="24"/>
        </w:rPr>
        <w:t xml:space="preserve"> maintaining stable housing and</w:t>
      </w:r>
      <w:r w:rsidR="00D642F9" w:rsidRPr="005301D0">
        <w:rPr>
          <w:rFonts w:cs="Times New Roman"/>
          <w:sz w:val="24"/>
          <w:szCs w:val="24"/>
        </w:rPr>
        <w:t xml:space="preserve"> </w:t>
      </w:r>
      <w:r w:rsidR="00C45848">
        <w:rPr>
          <w:rFonts w:cs="Times New Roman"/>
          <w:sz w:val="24"/>
          <w:szCs w:val="24"/>
        </w:rPr>
        <w:t xml:space="preserve">stressed </w:t>
      </w:r>
      <w:r w:rsidR="00545EF0">
        <w:rPr>
          <w:rFonts w:cs="Times New Roman"/>
          <w:sz w:val="24"/>
          <w:szCs w:val="24"/>
        </w:rPr>
        <w:t xml:space="preserve">or severed </w:t>
      </w:r>
      <w:r w:rsidR="00D642F9" w:rsidRPr="005301D0">
        <w:rPr>
          <w:rFonts w:cs="Times New Roman"/>
          <w:sz w:val="24"/>
          <w:szCs w:val="24"/>
        </w:rPr>
        <w:t>relationships</w:t>
      </w:r>
      <w:r w:rsidR="003F2AA0">
        <w:rPr>
          <w:rFonts w:cs="Times New Roman"/>
          <w:sz w:val="24"/>
          <w:szCs w:val="24"/>
        </w:rPr>
        <w:t xml:space="preserve"> as a result of </w:t>
      </w:r>
      <w:r w:rsidR="003F2AA0" w:rsidRPr="005301D0">
        <w:rPr>
          <w:rFonts w:cs="Times New Roman"/>
          <w:sz w:val="24"/>
          <w:szCs w:val="24"/>
        </w:rPr>
        <w:t>registration and notification laws.</w:t>
      </w:r>
      <w:r w:rsidR="00AC1DCC">
        <w:rPr>
          <w:rStyle w:val="EndnoteReference"/>
          <w:rFonts w:cs="Times New Roman"/>
          <w:sz w:val="24"/>
          <w:szCs w:val="24"/>
        </w:rPr>
        <w:endnoteReference w:id="4"/>
      </w:r>
      <w:r w:rsidR="003F2AA0" w:rsidRPr="005301D0">
        <w:rPr>
          <w:rFonts w:cs="Times New Roman"/>
          <w:sz w:val="24"/>
          <w:szCs w:val="24"/>
        </w:rPr>
        <w:t xml:space="preserve"> </w:t>
      </w:r>
    </w:p>
    <w:p w:rsidR="0068509F" w:rsidRPr="005301D0" w:rsidRDefault="00151D25" w:rsidP="004F0A97">
      <w:pPr>
        <w:jc w:val="both"/>
        <w:rPr>
          <w:rFonts w:cs="Times New Roman"/>
          <w:sz w:val="24"/>
          <w:szCs w:val="24"/>
        </w:rPr>
      </w:pPr>
      <w:r w:rsidRPr="005301D0">
        <w:rPr>
          <w:rFonts w:cs="Times New Roman"/>
          <w:sz w:val="24"/>
          <w:szCs w:val="24"/>
        </w:rPr>
        <w:t xml:space="preserve">Current </w:t>
      </w:r>
      <w:r w:rsidR="00482542">
        <w:rPr>
          <w:rFonts w:cs="Times New Roman"/>
          <w:sz w:val="24"/>
          <w:szCs w:val="24"/>
        </w:rPr>
        <w:t xml:space="preserve">national </w:t>
      </w:r>
      <w:r w:rsidRPr="005301D0">
        <w:rPr>
          <w:rFonts w:cs="Times New Roman"/>
          <w:sz w:val="24"/>
          <w:szCs w:val="24"/>
        </w:rPr>
        <w:t xml:space="preserve">research </w:t>
      </w:r>
      <w:r w:rsidR="003F7714">
        <w:rPr>
          <w:rFonts w:cs="Times New Roman"/>
          <w:sz w:val="24"/>
          <w:szCs w:val="24"/>
        </w:rPr>
        <w:t>similarly</w:t>
      </w:r>
      <w:r w:rsidRPr="005301D0">
        <w:rPr>
          <w:rFonts w:cs="Times New Roman"/>
          <w:sz w:val="24"/>
          <w:szCs w:val="24"/>
        </w:rPr>
        <w:t xml:space="preserve"> recognizes the negative </w:t>
      </w:r>
      <w:r w:rsidR="00D37EC7" w:rsidRPr="005301D0">
        <w:rPr>
          <w:rFonts w:cs="Times New Roman"/>
          <w:sz w:val="24"/>
          <w:szCs w:val="24"/>
        </w:rPr>
        <w:t xml:space="preserve">impact </w:t>
      </w:r>
      <w:r w:rsidRPr="005301D0">
        <w:rPr>
          <w:rFonts w:cs="Times New Roman"/>
          <w:sz w:val="24"/>
          <w:szCs w:val="24"/>
        </w:rPr>
        <w:t>of registration and notification on adult sex offenders.</w:t>
      </w:r>
      <w:r w:rsidR="00B20D81">
        <w:rPr>
          <w:rStyle w:val="EndnoteReference"/>
          <w:rFonts w:cs="Times New Roman"/>
          <w:sz w:val="24"/>
          <w:szCs w:val="24"/>
        </w:rPr>
        <w:endnoteReference w:id="5"/>
      </w:r>
      <w:r w:rsidRPr="005301D0">
        <w:rPr>
          <w:rFonts w:cs="Times New Roman"/>
          <w:sz w:val="24"/>
          <w:szCs w:val="24"/>
        </w:rPr>
        <w:t xml:space="preserve"> </w:t>
      </w:r>
      <w:r w:rsidR="00F76EE0">
        <w:rPr>
          <w:rFonts w:cs="Times New Roman"/>
          <w:sz w:val="24"/>
          <w:szCs w:val="24"/>
        </w:rPr>
        <w:t xml:space="preserve"> In addition to</w:t>
      </w:r>
      <w:r w:rsidR="0068509F" w:rsidRPr="005301D0">
        <w:rPr>
          <w:rFonts w:cs="Times New Roman"/>
          <w:sz w:val="24"/>
          <w:szCs w:val="24"/>
        </w:rPr>
        <w:t xml:space="preserve"> the</w:t>
      </w:r>
      <w:r w:rsidR="00751126">
        <w:rPr>
          <w:rFonts w:cs="Times New Roman"/>
          <w:sz w:val="24"/>
          <w:szCs w:val="24"/>
        </w:rPr>
        <w:t xml:space="preserve"> </w:t>
      </w:r>
      <w:r w:rsidR="00751126" w:rsidRPr="005301D0">
        <w:rPr>
          <w:rFonts w:cs="Times New Roman"/>
          <w:sz w:val="24"/>
          <w:szCs w:val="24"/>
        </w:rPr>
        <w:t>debilitating</w:t>
      </w:r>
      <w:r w:rsidR="0068509F" w:rsidRPr="005301D0">
        <w:rPr>
          <w:rFonts w:cs="Times New Roman"/>
          <w:sz w:val="24"/>
          <w:szCs w:val="24"/>
        </w:rPr>
        <w:t xml:space="preserve"> social </w:t>
      </w:r>
      <w:r w:rsidR="005052AF">
        <w:rPr>
          <w:rFonts w:cs="Times New Roman"/>
          <w:sz w:val="24"/>
          <w:szCs w:val="24"/>
        </w:rPr>
        <w:t xml:space="preserve">and emotional </w:t>
      </w:r>
      <w:r w:rsidR="0068509F" w:rsidRPr="005301D0">
        <w:rPr>
          <w:rFonts w:cs="Times New Roman"/>
          <w:sz w:val="24"/>
          <w:szCs w:val="24"/>
        </w:rPr>
        <w:t xml:space="preserve">effects </w:t>
      </w:r>
      <w:r w:rsidR="00F76EE0">
        <w:rPr>
          <w:rFonts w:cs="Times New Roman"/>
          <w:sz w:val="24"/>
          <w:szCs w:val="24"/>
        </w:rPr>
        <w:t xml:space="preserve">suffered from the stigma </w:t>
      </w:r>
      <w:r w:rsidR="0068509F" w:rsidRPr="005301D0">
        <w:rPr>
          <w:rFonts w:cs="Times New Roman"/>
          <w:sz w:val="24"/>
          <w:szCs w:val="24"/>
        </w:rPr>
        <w:t xml:space="preserve">of </w:t>
      </w:r>
      <w:r w:rsidR="00F76EE0">
        <w:rPr>
          <w:rFonts w:cs="Times New Roman"/>
          <w:sz w:val="24"/>
          <w:szCs w:val="24"/>
        </w:rPr>
        <w:t xml:space="preserve">the </w:t>
      </w:r>
      <w:r w:rsidR="00751126">
        <w:rPr>
          <w:rFonts w:cs="Times New Roman"/>
          <w:sz w:val="24"/>
          <w:szCs w:val="24"/>
        </w:rPr>
        <w:t>sex offender</w:t>
      </w:r>
      <w:r w:rsidR="00F76EE0">
        <w:rPr>
          <w:rFonts w:cs="Times New Roman"/>
          <w:sz w:val="24"/>
          <w:szCs w:val="24"/>
        </w:rPr>
        <w:t xml:space="preserve"> label</w:t>
      </w:r>
      <w:r w:rsidR="00751126">
        <w:rPr>
          <w:rFonts w:cs="Times New Roman"/>
          <w:sz w:val="24"/>
          <w:szCs w:val="24"/>
        </w:rPr>
        <w:t>,</w:t>
      </w:r>
      <w:r w:rsidR="0068509F" w:rsidRPr="005301D0">
        <w:rPr>
          <w:rFonts w:cs="Times New Roman"/>
          <w:sz w:val="24"/>
          <w:szCs w:val="24"/>
        </w:rPr>
        <w:t xml:space="preserve"> </w:t>
      </w:r>
      <w:r w:rsidR="00F76EE0">
        <w:rPr>
          <w:rFonts w:cs="Times New Roman"/>
          <w:sz w:val="24"/>
          <w:szCs w:val="24"/>
        </w:rPr>
        <w:t xml:space="preserve">many offenders find it difficult to </w:t>
      </w:r>
      <w:r w:rsidR="0068509F" w:rsidRPr="005301D0">
        <w:rPr>
          <w:rFonts w:cs="Times New Roman"/>
          <w:sz w:val="24"/>
          <w:szCs w:val="24"/>
        </w:rPr>
        <w:t xml:space="preserve">maintain </w:t>
      </w:r>
      <w:r w:rsidR="00F76EE0">
        <w:rPr>
          <w:rFonts w:cs="Times New Roman"/>
          <w:sz w:val="24"/>
          <w:szCs w:val="24"/>
        </w:rPr>
        <w:t>lifestyle stability</w:t>
      </w:r>
      <w:r w:rsidR="0068509F" w:rsidRPr="005301D0">
        <w:rPr>
          <w:rFonts w:cs="Times New Roman"/>
          <w:sz w:val="24"/>
          <w:szCs w:val="24"/>
        </w:rPr>
        <w:t>, a</w:t>
      </w:r>
      <w:r w:rsidR="00F76EE0">
        <w:rPr>
          <w:rFonts w:cs="Times New Roman"/>
          <w:sz w:val="24"/>
          <w:szCs w:val="24"/>
        </w:rPr>
        <w:t>n important</w:t>
      </w:r>
      <w:r w:rsidR="0068509F" w:rsidRPr="005301D0">
        <w:rPr>
          <w:rFonts w:cs="Times New Roman"/>
          <w:sz w:val="24"/>
          <w:szCs w:val="24"/>
        </w:rPr>
        <w:t xml:space="preserve"> factor </w:t>
      </w:r>
      <w:r w:rsidR="00F76EE0">
        <w:rPr>
          <w:rFonts w:cs="Times New Roman"/>
          <w:sz w:val="24"/>
          <w:szCs w:val="24"/>
        </w:rPr>
        <w:t>in reducing recidivism</w:t>
      </w:r>
      <w:r w:rsidR="004F0A97" w:rsidRPr="005301D0">
        <w:rPr>
          <w:rFonts w:cs="Times New Roman"/>
          <w:sz w:val="24"/>
          <w:szCs w:val="24"/>
        </w:rPr>
        <w:t>.</w:t>
      </w:r>
      <w:r w:rsidR="00AC1DCC">
        <w:rPr>
          <w:rStyle w:val="EndnoteReference"/>
          <w:rFonts w:cs="Times New Roman"/>
          <w:sz w:val="24"/>
          <w:szCs w:val="24"/>
        </w:rPr>
        <w:endnoteReference w:id="6"/>
      </w:r>
      <w:r w:rsidR="004F0A97" w:rsidRPr="005301D0">
        <w:rPr>
          <w:rFonts w:cs="Times New Roman"/>
          <w:sz w:val="24"/>
          <w:szCs w:val="24"/>
        </w:rPr>
        <w:t xml:space="preserve"> </w:t>
      </w:r>
      <w:r w:rsidR="00F76EE0">
        <w:rPr>
          <w:rFonts w:cs="Times New Roman"/>
          <w:sz w:val="24"/>
          <w:szCs w:val="24"/>
        </w:rPr>
        <w:t xml:space="preserve"> </w:t>
      </w:r>
      <w:r w:rsidR="003F7714">
        <w:rPr>
          <w:rFonts w:cs="Times New Roman"/>
          <w:sz w:val="24"/>
          <w:szCs w:val="24"/>
        </w:rPr>
        <w:t>Adults are known to experience:</w:t>
      </w:r>
    </w:p>
    <w:p w:rsidR="0068509F" w:rsidRPr="005301D0" w:rsidRDefault="0068509F" w:rsidP="004F0A97">
      <w:pPr>
        <w:pStyle w:val="ListParagraph"/>
        <w:numPr>
          <w:ilvl w:val="0"/>
          <w:numId w:val="3"/>
        </w:numPr>
        <w:jc w:val="both"/>
        <w:rPr>
          <w:rFonts w:cs="Times New Roman"/>
          <w:sz w:val="24"/>
          <w:szCs w:val="24"/>
        </w:rPr>
      </w:pPr>
      <w:r w:rsidRPr="005301D0">
        <w:rPr>
          <w:rFonts w:cs="Times New Roman"/>
          <w:sz w:val="24"/>
          <w:szCs w:val="24"/>
        </w:rPr>
        <w:t>difficult</w:t>
      </w:r>
      <w:r w:rsidR="00D37EC7" w:rsidRPr="005301D0">
        <w:rPr>
          <w:rFonts w:cs="Times New Roman"/>
          <w:sz w:val="24"/>
          <w:szCs w:val="24"/>
        </w:rPr>
        <w:t>y</w:t>
      </w:r>
      <w:r w:rsidRPr="005301D0">
        <w:rPr>
          <w:rFonts w:cs="Times New Roman"/>
          <w:sz w:val="24"/>
          <w:szCs w:val="24"/>
        </w:rPr>
        <w:t xml:space="preserve"> acquiring and sustaining stable housing resulting in frequent moves, </w:t>
      </w:r>
      <w:r w:rsidR="00D37EC7" w:rsidRPr="005301D0">
        <w:rPr>
          <w:rFonts w:cs="Times New Roman"/>
          <w:sz w:val="24"/>
          <w:szCs w:val="24"/>
        </w:rPr>
        <w:t>inability</w:t>
      </w:r>
      <w:r w:rsidRPr="005301D0">
        <w:rPr>
          <w:rFonts w:cs="Times New Roman"/>
          <w:sz w:val="24"/>
          <w:szCs w:val="24"/>
        </w:rPr>
        <w:t xml:space="preserve"> to reside with supportive family, </w:t>
      </w:r>
      <w:r w:rsidR="00D37EC7" w:rsidRPr="005301D0">
        <w:rPr>
          <w:rFonts w:cs="Times New Roman"/>
          <w:sz w:val="24"/>
          <w:szCs w:val="24"/>
        </w:rPr>
        <w:t xml:space="preserve">and </w:t>
      </w:r>
      <w:r w:rsidRPr="005301D0">
        <w:rPr>
          <w:rFonts w:cs="Times New Roman"/>
          <w:sz w:val="24"/>
          <w:szCs w:val="24"/>
        </w:rPr>
        <w:t>homelessness</w:t>
      </w:r>
      <w:r w:rsidR="002F0E9C">
        <w:rPr>
          <w:rStyle w:val="EndnoteReference"/>
          <w:rFonts w:cs="Times New Roman"/>
          <w:sz w:val="24"/>
          <w:szCs w:val="24"/>
        </w:rPr>
        <w:endnoteReference w:id="7"/>
      </w:r>
    </w:p>
    <w:p w:rsidR="00FE65B0" w:rsidRPr="005301D0" w:rsidRDefault="00FE65B0" w:rsidP="004F0A97">
      <w:pPr>
        <w:pStyle w:val="ListParagraph"/>
        <w:numPr>
          <w:ilvl w:val="0"/>
          <w:numId w:val="3"/>
        </w:numPr>
        <w:jc w:val="both"/>
        <w:rPr>
          <w:rFonts w:cs="Times New Roman"/>
          <w:sz w:val="24"/>
          <w:szCs w:val="24"/>
        </w:rPr>
      </w:pPr>
      <w:r w:rsidRPr="005301D0">
        <w:rPr>
          <w:rFonts w:cs="Times New Roman"/>
          <w:sz w:val="24"/>
          <w:szCs w:val="24"/>
        </w:rPr>
        <w:t>difficulty obtaining and sustaining stable employment</w:t>
      </w:r>
      <w:r w:rsidR="00885D3B">
        <w:rPr>
          <w:rStyle w:val="EndnoteReference"/>
          <w:rFonts w:cs="Times New Roman"/>
          <w:sz w:val="24"/>
          <w:szCs w:val="24"/>
        </w:rPr>
        <w:endnoteReference w:id="8"/>
      </w:r>
    </w:p>
    <w:p w:rsidR="0068509F" w:rsidRPr="005301D0" w:rsidRDefault="004F0A97" w:rsidP="00B901A6">
      <w:pPr>
        <w:pStyle w:val="ListParagraph"/>
        <w:numPr>
          <w:ilvl w:val="0"/>
          <w:numId w:val="2"/>
        </w:numPr>
        <w:jc w:val="both"/>
        <w:rPr>
          <w:rFonts w:cs="Times New Roman"/>
          <w:sz w:val="24"/>
          <w:szCs w:val="24"/>
        </w:rPr>
      </w:pPr>
      <w:r w:rsidRPr="005301D0">
        <w:rPr>
          <w:rFonts w:cs="Times New Roman"/>
          <w:sz w:val="24"/>
          <w:szCs w:val="24"/>
        </w:rPr>
        <w:t>destabilizing psychos</w:t>
      </w:r>
      <w:r w:rsidR="0068509F" w:rsidRPr="005301D0">
        <w:rPr>
          <w:rFonts w:cs="Times New Roman"/>
          <w:sz w:val="24"/>
          <w:szCs w:val="24"/>
        </w:rPr>
        <w:t>ocial stressors including</w:t>
      </w:r>
      <w:r w:rsidR="00AC1DCC">
        <w:rPr>
          <w:rStyle w:val="EndnoteReference"/>
          <w:rFonts w:cs="Times New Roman"/>
          <w:sz w:val="24"/>
          <w:szCs w:val="24"/>
        </w:rPr>
        <w:endnoteReference w:id="9"/>
      </w:r>
      <w:r w:rsidRPr="005301D0">
        <w:rPr>
          <w:rFonts w:cs="Times New Roman"/>
          <w:sz w:val="24"/>
          <w:szCs w:val="24"/>
        </w:rPr>
        <w:t>:</w:t>
      </w:r>
    </w:p>
    <w:p w:rsidR="0068509F" w:rsidRPr="005301D0" w:rsidRDefault="0068509F" w:rsidP="004F0A97">
      <w:pPr>
        <w:pStyle w:val="ListParagraph"/>
        <w:numPr>
          <w:ilvl w:val="1"/>
          <w:numId w:val="2"/>
        </w:numPr>
        <w:jc w:val="both"/>
        <w:rPr>
          <w:rFonts w:cs="Times New Roman"/>
          <w:sz w:val="24"/>
          <w:szCs w:val="24"/>
        </w:rPr>
      </w:pPr>
      <w:r w:rsidRPr="005301D0">
        <w:rPr>
          <w:rFonts w:cs="Times New Roman"/>
          <w:sz w:val="24"/>
          <w:szCs w:val="24"/>
        </w:rPr>
        <w:t>Financial hardship</w:t>
      </w:r>
      <w:r w:rsidR="00D37EC7" w:rsidRPr="005301D0">
        <w:rPr>
          <w:rFonts w:cs="Times New Roman"/>
          <w:sz w:val="24"/>
          <w:szCs w:val="24"/>
        </w:rPr>
        <w:t>;</w:t>
      </w:r>
    </w:p>
    <w:p w:rsidR="0068509F" w:rsidRPr="005301D0" w:rsidRDefault="0068509F" w:rsidP="004F0A97">
      <w:pPr>
        <w:pStyle w:val="ListParagraph"/>
        <w:numPr>
          <w:ilvl w:val="1"/>
          <w:numId w:val="2"/>
        </w:numPr>
        <w:jc w:val="both"/>
        <w:rPr>
          <w:rFonts w:cs="Times New Roman"/>
          <w:sz w:val="24"/>
          <w:szCs w:val="24"/>
        </w:rPr>
      </w:pPr>
      <w:r w:rsidRPr="005301D0">
        <w:rPr>
          <w:rFonts w:cs="Times New Roman"/>
          <w:sz w:val="24"/>
          <w:szCs w:val="24"/>
        </w:rPr>
        <w:lastRenderedPageBreak/>
        <w:t>Emo</w:t>
      </w:r>
      <w:r w:rsidR="004F0A97" w:rsidRPr="005301D0">
        <w:rPr>
          <w:rFonts w:cs="Times New Roman"/>
          <w:sz w:val="24"/>
          <w:szCs w:val="24"/>
        </w:rPr>
        <w:t>tional</w:t>
      </w:r>
      <w:r w:rsidRPr="005301D0">
        <w:rPr>
          <w:rFonts w:cs="Times New Roman"/>
          <w:sz w:val="24"/>
          <w:szCs w:val="24"/>
        </w:rPr>
        <w:t xml:space="preserve"> distress</w:t>
      </w:r>
      <w:r w:rsidR="00B12AD7" w:rsidRPr="005301D0">
        <w:rPr>
          <w:rFonts w:cs="Times New Roman"/>
          <w:sz w:val="24"/>
          <w:szCs w:val="24"/>
        </w:rPr>
        <w:t xml:space="preserve"> including shame, alienation, isolation, and lack of social supports</w:t>
      </w:r>
      <w:r w:rsidR="00D37EC7" w:rsidRPr="005301D0">
        <w:rPr>
          <w:rFonts w:cs="Times New Roman"/>
          <w:sz w:val="24"/>
          <w:szCs w:val="24"/>
        </w:rPr>
        <w:t>;</w:t>
      </w:r>
    </w:p>
    <w:p w:rsidR="00B901A6" w:rsidRPr="005301D0" w:rsidRDefault="0068509F" w:rsidP="004F0A97">
      <w:pPr>
        <w:pStyle w:val="ListParagraph"/>
        <w:numPr>
          <w:ilvl w:val="1"/>
          <w:numId w:val="2"/>
        </w:numPr>
        <w:jc w:val="both"/>
        <w:rPr>
          <w:rFonts w:cs="Times New Roman"/>
          <w:sz w:val="24"/>
          <w:szCs w:val="24"/>
        </w:rPr>
      </w:pPr>
      <w:r w:rsidRPr="005301D0">
        <w:rPr>
          <w:rFonts w:cs="Times New Roman"/>
          <w:sz w:val="24"/>
          <w:szCs w:val="24"/>
        </w:rPr>
        <w:t>Living</w:t>
      </w:r>
      <w:r w:rsidR="004F0A97" w:rsidRPr="005301D0">
        <w:rPr>
          <w:rFonts w:cs="Times New Roman"/>
          <w:sz w:val="24"/>
          <w:szCs w:val="24"/>
        </w:rPr>
        <w:t xml:space="preserve"> </w:t>
      </w:r>
      <w:r w:rsidRPr="005301D0">
        <w:rPr>
          <w:rFonts w:cs="Times New Roman"/>
          <w:sz w:val="24"/>
          <w:szCs w:val="24"/>
        </w:rPr>
        <w:t>far</w:t>
      </w:r>
      <w:r w:rsidR="004F0A97" w:rsidRPr="005301D0">
        <w:rPr>
          <w:rFonts w:cs="Times New Roman"/>
          <w:sz w:val="24"/>
          <w:szCs w:val="24"/>
        </w:rPr>
        <w:t>t</w:t>
      </w:r>
      <w:r w:rsidRPr="005301D0">
        <w:rPr>
          <w:rFonts w:cs="Times New Roman"/>
          <w:sz w:val="24"/>
          <w:szCs w:val="24"/>
        </w:rPr>
        <w:t>her away from employm</w:t>
      </w:r>
      <w:r w:rsidR="004F0A97" w:rsidRPr="005301D0">
        <w:rPr>
          <w:rFonts w:cs="Times New Roman"/>
          <w:sz w:val="24"/>
          <w:szCs w:val="24"/>
        </w:rPr>
        <w:t>ent opportunities,</w:t>
      </w:r>
      <w:r w:rsidRPr="005301D0">
        <w:rPr>
          <w:rFonts w:cs="Times New Roman"/>
          <w:sz w:val="24"/>
          <w:szCs w:val="24"/>
        </w:rPr>
        <w:t xml:space="preserve"> </w:t>
      </w:r>
      <w:r w:rsidR="004F0A97" w:rsidRPr="005301D0">
        <w:rPr>
          <w:rFonts w:cs="Times New Roman"/>
          <w:sz w:val="24"/>
          <w:szCs w:val="24"/>
        </w:rPr>
        <w:t>treatment and support services, family</w:t>
      </w:r>
      <w:r w:rsidR="00D37EC7" w:rsidRPr="005301D0">
        <w:rPr>
          <w:rFonts w:cs="Times New Roman"/>
          <w:sz w:val="24"/>
          <w:szCs w:val="24"/>
        </w:rPr>
        <w:t xml:space="preserve"> and friends</w:t>
      </w:r>
      <w:r w:rsidR="004312AB">
        <w:rPr>
          <w:rStyle w:val="EndnoteReference"/>
          <w:rFonts w:cs="Times New Roman"/>
          <w:sz w:val="24"/>
          <w:szCs w:val="24"/>
        </w:rPr>
        <w:endnoteReference w:id="10"/>
      </w:r>
      <w:r w:rsidR="00D37EC7" w:rsidRPr="005301D0">
        <w:rPr>
          <w:rFonts w:cs="Times New Roman"/>
          <w:sz w:val="24"/>
          <w:szCs w:val="24"/>
        </w:rPr>
        <w:t>;</w:t>
      </w:r>
      <w:r w:rsidR="004F0A97" w:rsidRPr="005301D0">
        <w:rPr>
          <w:rFonts w:cs="Times New Roman"/>
          <w:sz w:val="24"/>
          <w:szCs w:val="24"/>
        </w:rPr>
        <w:tab/>
      </w:r>
    </w:p>
    <w:p w:rsidR="003E52E1" w:rsidRPr="005301D0" w:rsidRDefault="003F7714" w:rsidP="003E52E1">
      <w:pPr>
        <w:pStyle w:val="ListParagraph"/>
        <w:numPr>
          <w:ilvl w:val="1"/>
          <w:numId w:val="2"/>
        </w:numPr>
        <w:jc w:val="both"/>
        <w:rPr>
          <w:rFonts w:cs="Times New Roman"/>
          <w:sz w:val="24"/>
          <w:szCs w:val="24"/>
        </w:rPr>
      </w:pPr>
      <w:r>
        <w:rPr>
          <w:rFonts w:cs="Times New Roman"/>
          <w:sz w:val="24"/>
          <w:szCs w:val="24"/>
        </w:rPr>
        <w:t>E</w:t>
      </w:r>
      <w:r w:rsidR="003E52E1" w:rsidRPr="005301D0">
        <w:rPr>
          <w:rFonts w:cs="Times New Roman"/>
          <w:sz w:val="24"/>
          <w:szCs w:val="24"/>
        </w:rPr>
        <w:t>xacerbation of mental health symptoms such as depression, anxiety and substance abuse</w:t>
      </w:r>
    </w:p>
    <w:p w:rsidR="003E52E1" w:rsidRPr="003F7714" w:rsidRDefault="003F7714" w:rsidP="003F7714">
      <w:pPr>
        <w:pStyle w:val="ListParagraph"/>
        <w:numPr>
          <w:ilvl w:val="1"/>
          <w:numId w:val="2"/>
        </w:numPr>
        <w:jc w:val="both"/>
        <w:rPr>
          <w:rFonts w:cs="Times New Roman"/>
          <w:sz w:val="24"/>
          <w:szCs w:val="24"/>
        </w:rPr>
      </w:pPr>
      <w:r>
        <w:rPr>
          <w:rFonts w:cs="Times New Roman"/>
          <w:sz w:val="24"/>
          <w:szCs w:val="24"/>
        </w:rPr>
        <w:t>P</w:t>
      </w:r>
      <w:r w:rsidR="003E52E1" w:rsidRPr="003F7714">
        <w:rPr>
          <w:rFonts w:cs="Times New Roman"/>
          <w:sz w:val="24"/>
          <w:szCs w:val="24"/>
        </w:rPr>
        <w:t>hysical harm including violence at the hands of vigilantes an</w:t>
      </w:r>
      <w:r w:rsidR="00D37EC7" w:rsidRPr="003F7714">
        <w:rPr>
          <w:rFonts w:cs="Times New Roman"/>
          <w:sz w:val="24"/>
          <w:szCs w:val="24"/>
        </w:rPr>
        <w:t>d</w:t>
      </w:r>
      <w:r w:rsidR="003E52E1" w:rsidRPr="003F7714">
        <w:rPr>
          <w:rFonts w:cs="Times New Roman"/>
          <w:sz w:val="24"/>
          <w:szCs w:val="24"/>
        </w:rPr>
        <w:t xml:space="preserve"> suicide</w:t>
      </w:r>
      <w:r w:rsidR="00AC1DCC">
        <w:rPr>
          <w:rStyle w:val="EndnoteReference"/>
          <w:rFonts w:cs="Times New Roman"/>
          <w:sz w:val="24"/>
          <w:szCs w:val="24"/>
        </w:rPr>
        <w:endnoteReference w:id="11"/>
      </w:r>
    </w:p>
    <w:p w:rsidR="00C1217A" w:rsidRPr="005301D0" w:rsidRDefault="00C57145" w:rsidP="009319ED">
      <w:pPr>
        <w:spacing w:before="100" w:beforeAutospacing="1" w:after="100" w:afterAutospacing="1" w:line="240" w:lineRule="auto"/>
        <w:rPr>
          <w:rFonts w:cs="Times New Roman"/>
          <w:sz w:val="24"/>
          <w:szCs w:val="24"/>
        </w:rPr>
      </w:pPr>
      <w:r>
        <w:rPr>
          <w:rFonts w:cs="Times New Roman"/>
          <w:sz w:val="24"/>
          <w:szCs w:val="24"/>
        </w:rPr>
        <w:t>Ironically, studies show that “p</w:t>
      </w:r>
      <w:r w:rsidR="00D3468C">
        <w:rPr>
          <w:rFonts w:cs="Times New Roman"/>
          <w:sz w:val="24"/>
          <w:szCs w:val="24"/>
        </w:rPr>
        <w:t xml:space="preserve">ublicly </w:t>
      </w:r>
      <w:r w:rsidR="00E97498">
        <w:rPr>
          <w:rFonts w:cs="Times New Roman"/>
          <w:sz w:val="24"/>
          <w:szCs w:val="24"/>
        </w:rPr>
        <w:t>revealing the identity and criminal history of a released offender seems to increase the likelihood of his returning to crime.”</w:t>
      </w:r>
      <w:r w:rsidR="00E97498">
        <w:rPr>
          <w:rStyle w:val="EndnoteReference"/>
          <w:rFonts w:cs="Times New Roman"/>
          <w:sz w:val="24"/>
          <w:szCs w:val="24"/>
        </w:rPr>
        <w:endnoteReference w:id="12"/>
      </w:r>
      <w:r w:rsidR="00D3468C">
        <w:rPr>
          <w:rFonts w:cs="Times New Roman"/>
          <w:sz w:val="24"/>
          <w:szCs w:val="24"/>
        </w:rPr>
        <w:t xml:space="preserve">  </w:t>
      </w:r>
      <w:r w:rsidR="00B73213">
        <w:rPr>
          <w:rFonts w:cs="Times New Roman"/>
          <w:sz w:val="24"/>
          <w:szCs w:val="24"/>
        </w:rPr>
        <w:t>To</w:t>
      </w:r>
      <w:r w:rsidR="00D3468C">
        <w:rPr>
          <w:rFonts w:cs="Times New Roman"/>
          <w:sz w:val="24"/>
          <w:szCs w:val="24"/>
        </w:rPr>
        <w:t xml:space="preserve"> </w:t>
      </w:r>
      <w:r w:rsidR="00A70582">
        <w:rPr>
          <w:rFonts w:cs="Times New Roman"/>
          <w:sz w:val="24"/>
          <w:szCs w:val="24"/>
        </w:rPr>
        <w:t xml:space="preserve">protect public safety and </w:t>
      </w:r>
      <w:r w:rsidR="00D3468C">
        <w:rPr>
          <w:rFonts w:cs="Times New Roman"/>
          <w:sz w:val="24"/>
          <w:szCs w:val="24"/>
        </w:rPr>
        <w:t xml:space="preserve">enhance </w:t>
      </w:r>
      <w:r w:rsidR="009319ED">
        <w:rPr>
          <w:rFonts w:cs="Times New Roman"/>
          <w:sz w:val="24"/>
          <w:szCs w:val="24"/>
        </w:rPr>
        <w:t xml:space="preserve">offender </w:t>
      </w:r>
      <w:r w:rsidR="00D3468C">
        <w:rPr>
          <w:rFonts w:cs="Times New Roman"/>
          <w:sz w:val="24"/>
          <w:szCs w:val="24"/>
        </w:rPr>
        <w:t>stability</w:t>
      </w:r>
      <w:r w:rsidR="00A70582">
        <w:rPr>
          <w:rFonts w:cs="Times New Roman"/>
          <w:sz w:val="24"/>
          <w:szCs w:val="24"/>
        </w:rPr>
        <w:t>,</w:t>
      </w:r>
      <w:r w:rsidR="00B73213">
        <w:rPr>
          <w:rFonts w:cs="Times New Roman"/>
          <w:sz w:val="24"/>
          <w:szCs w:val="24"/>
        </w:rPr>
        <w:t xml:space="preserve"> the Commission recommends the creation of </w:t>
      </w:r>
      <w:r w:rsidR="00B40E41">
        <w:rPr>
          <w:rFonts w:cs="Times New Roman"/>
          <w:sz w:val="24"/>
          <w:szCs w:val="24"/>
        </w:rPr>
        <w:t xml:space="preserve">best practices strategies and options in </w:t>
      </w:r>
      <w:r w:rsidR="00D3468C">
        <w:rPr>
          <w:rFonts w:cs="Times New Roman"/>
          <w:sz w:val="24"/>
          <w:szCs w:val="24"/>
        </w:rPr>
        <w:t>housing, treatment, employment and other support services for sex offenders and their families.</w:t>
      </w:r>
      <w:r w:rsidR="009319ED" w:rsidRPr="009319ED">
        <w:rPr>
          <w:rStyle w:val="EndnoteReference"/>
          <w:rFonts w:cs="Times New Roman"/>
          <w:sz w:val="24"/>
          <w:szCs w:val="24"/>
        </w:rPr>
        <w:t xml:space="preserve"> </w:t>
      </w:r>
      <w:r w:rsidR="009319ED">
        <w:rPr>
          <w:rStyle w:val="EndnoteReference"/>
          <w:rFonts w:cs="Times New Roman"/>
          <w:sz w:val="24"/>
          <w:szCs w:val="24"/>
        </w:rPr>
        <w:endnoteReference w:id="13"/>
      </w:r>
      <w:r w:rsidR="00D3468C">
        <w:rPr>
          <w:rFonts w:cs="Times New Roman"/>
          <w:sz w:val="24"/>
          <w:szCs w:val="24"/>
        </w:rPr>
        <w:t xml:space="preserve">  </w:t>
      </w:r>
      <w:r w:rsidR="009319ED" w:rsidRPr="005301D0">
        <w:rPr>
          <w:rFonts w:eastAsia="Times New Roman" w:cs="Times New Roman"/>
          <w:sz w:val="24"/>
          <w:szCs w:val="24"/>
        </w:rPr>
        <w:t xml:space="preserve">It is </w:t>
      </w:r>
      <w:r w:rsidR="009319ED">
        <w:rPr>
          <w:rFonts w:eastAsia="Times New Roman" w:cs="Times New Roman"/>
          <w:sz w:val="24"/>
          <w:szCs w:val="24"/>
        </w:rPr>
        <w:t xml:space="preserve">further </w:t>
      </w:r>
      <w:r w:rsidR="009319ED" w:rsidRPr="005301D0">
        <w:rPr>
          <w:rFonts w:eastAsia="Times New Roman" w:cs="Times New Roman"/>
          <w:sz w:val="24"/>
          <w:szCs w:val="24"/>
        </w:rPr>
        <w:t>recommended that Massachusetts adopt a</w:t>
      </w:r>
      <w:r w:rsidR="00B40E41">
        <w:rPr>
          <w:rFonts w:eastAsia="Times New Roman" w:cs="Times New Roman"/>
          <w:sz w:val="24"/>
          <w:szCs w:val="24"/>
        </w:rPr>
        <w:t xml:space="preserve"> research</w:t>
      </w:r>
      <w:r w:rsidR="009319ED" w:rsidRPr="005301D0">
        <w:rPr>
          <w:rFonts w:eastAsia="Times New Roman" w:cs="Times New Roman"/>
          <w:sz w:val="24"/>
          <w:szCs w:val="24"/>
        </w:rPr>
        <w:t>-based, best practice levelling paradigm that will lead to the fewest possible erroneous leveling decisions and limit the subsequent collateral consequences to registrants and to the public to the greatest extent possible.</w:t>
      </w:r>
      <w:r w:rsidR="00A77FA4">
        <w:rPr>
          <w:rFonts w:eastAsia="Times New Roman" w:cs="Times New Roman"/>
          <w:sz w:val="24"/>
          <w:szCs w:val="24"/>
        </w:rPr>
        <w:t xml:space="preserve">  </w:t>
      </w:r>
    </w:p>
    <w:p w:rsidR="00C1217A" w:rsidRPr="005301D0" w:rsidRDefault="00C1217A">
      <w:pPr>
        <w:rPr>
          <w:rFonts w:cs="Times New Roman"/>
          <w:sz w:val="24"/>
          <w:szCs w:val="24"/>
        </w:rPr>
      </w:pPr>
    </w:p>
    <w:p w:rsidR="00C1217A" w:rsidRPr="005301D0" w:rsidRDefault="00C1217A">
      <w:pPr>
        <w:rPr>
          <w:rFonts w:cs="Times New Roman"/>
          <w:sz w:val="24"/>
          <w:szCs w:val="24"/>
        </w:rPr>
      </w:pPr>
    </w:p>
    <w:sectPr w:rsidR="00C1217A" w:rsidRPr="005301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9B" w:rsidRDefault="006E729B" w:rsidP="00605BA2">
      <w:pPr>
        <w:spacing w:after="0" w:line="240" w:lineRule="auto"/>
      </w:pPr>
      <w:r>
        <w:separator/>
      </w:r>
    </w:p>
  </w:endnote>
  <w:endnote w:type="continuationSeparator" w:id="0">
    <w:p w:rsidR="006E729B" w:rsidRDefault="006E729B" w:rsidP="00605BA2">
      <w:pPr>
        <w:spacing w:after="0" w:line="240" w:lineRule="auto"/>
      </w:pPr>
      <w:r>
        <w:continuationSeparator/>
      </w:r>
    </w:p>
  </w:endnote>
  <w:endnote w:id="1">
    <w:p w:rsidR="000A1180" w:rsidRPr="00AE716B" w:rsidRDefault="000A1180">
      <w:pPr>
        <w:pStyle w:val="EndnoteText"/>
      </w:pPr>
      <w:r w:rsidRPr="00AE716B">
        <w:rPr>
          <w:rStyle w:val="EndnoteReference"/>
        </w:rPr>
        <w:endnoteRef/>
      </w:r>
      <w:r w:rsidRPr="00AE716B">
        <w:t xml:space="preserve"> </w:t>
      </w:r>
      <w:r w:rsidR="00751126" w:rsidRPr="00AE716B">
        <w:t xml:space="preserve">Caldwell, M., </w:t>
      </w:r>
      <w:r w:rsidR="00751126" w:rsidRPr="00912B18">
        <w:t xml:space="preserve">Sexual Offense Adjudication and Sexual Recidivism </w:t>
      </w:r>
      <w:proofErr w:type="gramStart"/>
      <w:r w:rsidR="00751126" w:rsidRPr="00912B18">
        <w:t>Among</w:t>
      </w:r>
      <w:proofErr w:type="gramEnd"/>
      <w:r w:rsidR="00751126" w:rsidRPr="00912B18">
        <w:t xml:space="preserve"> Juvenile Offender,</w:t>
      </w:r>
      <w:r w:rsidR="00751126" w:rsidRPr="00AE716B">
        <w:rPr>
          <w:i/>
        </w:rPr>
        <w:t xml:space="preserve"> </w:t>
      </w:r>
      <w:r w:rsidR="00751126" w:rsidRPr="00912B18">
        <w:rPr>
          <w:i/>
        </w:rPr>
        <w:t xml:space="preserve">Sexual Abuse: A Journal of Research and Treatment, </w:t>
      </w:r>
      <w:r w:rsidR="00751126" w:rsidRPr="00AE716B">
        <w:t xml:space="preserve">19(2), 107-113 at 112 (2007).  </w:t>
      </w:r>
    </w:p>
    <w:p w:rsidR="002F0E9C" w:rsidRPr="00AE716B" w:rsidRDefault="002F0E9C">
      <w:pPr>
        <w:pStyle w:val="EndnoteText"/>
      </w:pPr>
    </w:p>
  </w:endnote>
  <w:endnote w:id="2">
    <w:p w:rsidR="00E874CC" w:rsidRDefault="00E874CC">
      <w:pPr>
        <w:pStyle w:val="EndnoteText"/>
      </w:pPr>
      <w:r>
        <w:rPr>
          <w:rStyle w:val="EndnoteReference"/>
        </w:rPr>
        <w:endnoteRef/>
      </w:r>
      <w:r>
        <w:t xml:space="preserve"> Raised on the Registry: The Irreparable Harm of Placing Children on Sex Offender Registries in the US, </w:t>
      </w:r>
      <w:r>
        <w:rPr>
          <w:i/>
        </w:rPr>
        <w:t xml:space="preserve">Human Rights Watch, </w:t>
      </w:r>
      <w:r>
        <w:t>1-110 at 5</w:t>
      </w:r>
      <w:r w:rsidR="00A64BB3">
        <w:t>, 50-80</w:t>
      </w:r>
      <w:r>
        <w:t xml:space="preserve"> (May 2013)(harm to youth can be severe and may include being stigmatized, isolated, depressed, suicidal, harassed and subject of violence).</w:t>
      </w:r>
    </w:p>
    <w:p w:rsidR="00E874CC" w:rsidRPr="00E874CC" w:rsidRDefault="00E874CC">
      <w:pPr>
        <w:pStyle w:val="EndnoteText"/>
      </w:pPr>
    </w:p>
  </w:endnote>
  <w:endnote w:id="3">
    <w:p w:rsidR="005052AF" w:rsidRPr="00AE716B" w:rsidRDefault="005052AF" w:rsidP="00AE716B">
      <w:pPr>
        <w:jc w:val="both"/>
        <w:rPr>
          <w:rFonts w:ascii="Times New Roman" w:hAnsi="Times New Roman" w:cs="Times New Roman"/>
          <w:sz w:val="20"/>
          <w:szCs w:val="20"/>
        </w:rPr>
      </w:pPr>
      <w:r w:rsidRPr="00AE716B">
        <w:rPr>
          <w:rStyle w:val="EndnoteReference"/>
          <w:sz w:val="20"/>
          <w:szCs w:val="20"/>
        </w:rPr>
        <w:endnoteRef/>
      </w:r>
      <w:r w:rsidRPr="00AE716B">
        <w:rPr>
          <w:sz w:val="20"/>
          <w:szCs w:val="20"/>
        </w:rPr>
        <w:t xml:space="preserve"> Miner, M., </w:t>
      </w:r>
      <w:proofErr w:type="gramStart"/>
      <w:r w:rsidRPr="00912B18">
        <w:rPr>
          <w:sz w:val="20"/>
          <w:szCs w:val="20"/>
        </w:rPr>
        <w:t>The</w:t>
      </w:r>
      <w:proofErr w:type="gramEnd"/>
      <w:r w:rsidRPr="00912B18">
        <w:rPr>
          <w:sz w:val="20"/>
          <w:szCs w:val="20"/>
        </w:rPr>
        <w:t xml:space="preserve"> Fallacy of Juvenile Sex Offender Risk,</w:t>
      </w:r>
      <w:r w:rsidRPr="00AE716B">
        <w:rPr>
          <w:sz w:val="20"/>
          <w:szCs w:val="20"/>
        </w:rPr>
        <w:t xml:space="preserve"> </w:t>
      </w:r>
      <w:r w:rsidRPr="00912B18">
        <w:rPr>
          <w:i/>
          <w:sz w:val="20"/>
          <w:szCs w:val="20"/>
        </w:rPr>
        <w:t>Criminology &amp; Public Policy</w:t>
      </w:r>
      <w:r w:rsidRPr="00AE716B">
        <w:rPr>
          <w:sz w:val="20"/>
          <w:szCs w:val="20"/>
        </w:rPr>
        <w:t>, 6(3) (2007) 564-572, 569.</w:t>
      </w:r>
    </w:p>
  </w:endnote>
  <w:endnote w:id="4">
    <w:p w:rsidR="00AC1DCC" w:rsidRPr="005630AB" w:rsidRDefault="00AC1DCC" w:rsidP="00AC1DCC">
      <w:pPr>
        <w:pStyle w:val="EndnoteText"/>
      </w:pPr>
      <w:r>
        <w:rPr>
          <w:rStyle w:val="EndnoteReference"/>
        </w:rPr>
        <w:endnoteRef/>
      </w:r>
      <w:r>
        <w:t xml:space="preserve"> Calkins, C., et al., Sexual Violence Legislation: A Review of Case Law and Empirical Research, </w:t>
      </w:r>
      <w:r>
        <w:rPr>
          <w:i/>
        </w:rPr>
        <w:t xml:space="preserve">Psychology, Public Policy, and Law, </w:t>
      </w:r>
      <w:r>
        <w:t>20(4), 443-462 at 452 (2014)</w:t>
      </w:r>
      <w:r w:rsidR="00E874CC">
        <w:t xml:space="preserve">; Raised on the Registry: The Irreparable Harm of Placing Children on Sex Offender Registries in the US, </w:t>
      </w:r>
      <w:r w:rsidR="00E874CC">
        <w:rPr>
          <w:i/>
        </w:rPr>
        <w:t xml:space="preserve">Human Rights Watch, </w:t>
      </w:r>
      <w:r w:rsidR="00E874CC">
        <w:t>1-110 at 5</w:t>
      </w:r>
      <w:r w:rsidR="00A64BB3">
        <w:t>, 50-80</w:t>
      </w:r>
      <w:r w:rsidR="00E874CC">
        <w:t xml:space="preserve"> (May 2013).</w:t>
      </w:r>
    </w:p>
    <w:p w:rsidR="00AC1DCC" w:rsidRDefault="00AC1DCC">
      <w:pPr>
        <w:pStyle w:val="EndnoteText"/>
      </w:pPr>
    </w:p>
  </w:endnote>
  <w:endnote w:id="5">
    <w:p w:rsidR="00B20D81" w:rsidRPr="006F3C18" w:rsidRDefault="00B20D81">
      <w:pPr>
        <w:pStyle w:val="EndnoteText"/>
      </w:pPr>
      <w:r>
        <w:rPr>
          <w:rStyle w:val="EndnoteReference"/>
        </w:rPr>
        <w:endnoteRef/>
      </w:r>
      <w:r>
        <w:t xml:space="preserve"> Letourneau, </w:t>
      </w:r>
      <w:proofErr w:type="spellStart"/>
      <w:r>
        <w:t>Levenson</w:t>
      </w:r>
      <w:proofErr w:type="spellEnd"/>
      <w:r>
        <w:t xml:space="preserve">, </w:t>
      </w:r>
      <w:proofErr w:type="spellStart"/>
      <w:r>
        <w:t>Caulkins</w:t>
      </w:r>
      <w:proofErr w:type="spellEnd"/>
      <w:proofErr w:type="gramStart"/>
      <w:r w:rsidR="00966C00">
        <w:t xml:space="preserve">; </w:t>
      </w:r>
      <w:r>
        <w:t xml:space="preserve"> </w:t>
      </w:r>
      <w:r w:rsidR="006F3C18">
        <w:t>No</w:t>
      </w:r>
      <w:proofErr w:type="gramEnd"/>
      <w:r w:rsidR="006F3C18">
        <w:t xml:space="preserve"> Easy Answers:  Sex Offender Laws in the US, </w:t>
      </w:r>
      <w:r w:rsidR="006F3C18">
        <w:rPr>
          <w:i/>
        </w:rPr>
        <w:t xml:space="preserve">Human Rights Watch </w:t>
      </w:r>
      <w:r w:rsidR="00966C00">
        <w:t>19(4G)</w:t>
      </w:r>
      <w:r w:rsidR="006F3C18">
        <w:t>, pp.1-134 at 80-99 (</w:t>
      </w:r>
      <w:r w:rsidR="00966C00">
        <w:t>September 2007).</w:t>
      </w:r>
    </w:p>
    <w:p w:rsidR="003F1F24" w:rsidRDefault="003F1F24">
      <w:pPr>
        <w:pStyle w:val="EndnoteText"/>
      </w:pPr>
    </w:p>
  </w:endnote>
  <w:endnote w:id="6">
    <w:p w:rsidR="00AC1DCC" w:rsidRPr="005630AB" w:rsidRDefault="00AC1DCC" w:rsidP="00AC1DCC">
      <w:pPr>
        <w:pStyle w:val="EndnoteText"/>
      </w:pPr>
      <w:r>
        <w:rPr>
          <w:rStyle w:val="EndnoteReference"/>
        </w:rPr>
        <w:endnoteRef/>
      </w:r>
      <w:r>
        <w:t xml:space="preserve"> Calkins, C., et al., Sexual Violence Legislation: A Review of Case Law and Empirical Research, </w:t>
      </w:r>
      <w:r>
        <w:rPr>
          <w:i/>
        </w:rPr>
        <w:t xml:space="preserve">Psychology, Public Policy, and Law, </w:t>
      </w:r>
      <w:r>
        <w:t>20(4), 443-462 at 452 (2014).</w:t>
      </w:r>
    </w:p>
    <w:p w:rsidR="00AC1DCC" w:rsidRDefault="00AC1DCC">
      <w:pPr>
        <w:pStyle w:val="EndnoteText"/>
      </w:pPr>
    </w:p>
  </w:endnote>
  <w:endnote w:id="7">
    <w:p w:rsidR="002F0E9C" w:rsidRDefault="002F0E9C">
      <w:pPr>
        <w:pStyle w:val="EndnoteText"/>
      </w:pPr>
      <w:r>
        <w:rPr>
          <w:rStyle w:val="EndnoteReference"/>
        </w:rPr>
        <w:endnoteRef/>
      </w:r>
      <w:r>
        <w:t xml:space="preserve"> </w:t>
      </w:r>
      <w:r w:rsidRPr="003F1F24">
        <w:rPr>
          <w:i/>
        </w:rPr>
        <w:t>Doe No. 380316 v. SORB</w:t>
      </w:r>
      <w:r>
        <w:t>, 473 Mass. 297,</w:t>
      </w:r>
      <w:r w:rsidR="00885D3B">
        <w:t xml:space="preserve"> 306</w:t>
      </w:r>
      <w:r>
        <w:t xml:space="preserve"> (2015)</w:t>
      </w:r>
      <w:r w:rsidR="004841ED">
        <w:t>, citing Platt, Gangsters to Greyhounds:  The Past, present , and Future of Offender Registration, 37 N.Y.U. Rev. L. &amp; Soc. Change 727, 762 (2013)(housing discrimination forces many offenders “to live in shelters or be rendered homeless”</w:t>
      </w:r>
      <w:r w:rsidR="00AC1DCC">
        <w:t xml:space="preserve">); Calkins, C., et al., Sexual Violence Legislation: A Review of Case Law and Empirical Research, </w:t>
      </w:r>
      <w:r w:rsidR="00AC1DCC">
        <w:rPr>
          <w:i/>
        </w:rPr>
        <w:t xml:space="preserve">Psychology, Public Policy, and Law, </w:t>
      </w:r>
      <w:r w:rsidR="00AC1DCC">
        <w:t>20(4), 443-462 at 452 (2014)</w:t>
      </w:r>
      <w:r w:rsidR="008D13A8">
        <w:t xml:space="preserve">; Prescott, J.J., Do Sex Offender Registries Make Us Less Safe? </w:t>
      </w:r>
      <w:r w:rsidR="008D13A8">
        <w:rPr>
          <w:i/>
        </w:rPr>
        <w:t>Crime &amp; Law Enforcement</w:t>
      </w:r>
      <w:r w:rsidR="008D13A8">
        <w:t>, pp.48-55 at 55 (2012).</w:t>
      </w:r>
    </w:p>
    <w:p w:rsidR="00885D3B" w:rsidRDefault="00885D3B">
      <w:pPr>
        <w:pStyle w:val="EndnoteText"/>
      </w:pPr>
    </w:p>
  </w:endnote>
  <w:endnote w:id="8">
    <w:p w:rsidR="00885D3B" w:rsidRPr="005630AB" w:rsidRDefault="00885D3B" w:rsidP="00885D3B">
      <w:pPr>
        <w:pStyle w:val="EndnoteText"/>
      </w:pPr>
      <w:r>
        <w:rPr>
          <w:rStyle w:val="EndnoteReference"/>
        </w:rPr>
        <w:endnoteRef/>
      </w:r>
      <w:r>
        <w:t xml:space="preserve"> </w:t>
      </w:r>
      <w:r w:rsidRPr="003F1F24">
        <w:rPr>
          <w:i/>
        </w:rPr>
        <w:t>Doe No. 380316 v. SORB</w:t>
      </w:r>
      <w:r>
        <w:t>, 473 Mass. 297, 306 (2015)</w:t>
      </w:r>
      <w:r w:rsidR="004841ED">
        <w:t xml:space="preserve">, citing </w:t>
      </w:r>
      <w:r w:rsidR="004841ED">
        <w:rPr>
          <w:i/>
        </w:rPr>
        <w:t xml:space="preserve">Commonwealth v. </w:t>
      </w:r>
      <w:proofErr w:type="spellStart"/>
      <w:r w:rsidR="004841ED">
        <w:rPr>
          <w:i/>
        </w:rPr>
        <w:t>Canadyan</w:t>
      </w:r>
      <w:proofErr w:type="spellEnd"/>
      <w:r w:rsidR="004841ED">
        <w:t>, 458 Mass. 574, 577 n.8 (2010</w:t>
      </w:r>
      <w:proofErr w:type="gramStart"/>
      <w:r w:rsidR="004841ED">
        <w:t>)(</w:t>
      </w:r>
      <w:proofErr w:type="gramEnd"/>
      <w:r w:rsidR="004841ED">
        <w:t>“extraordinary obstacles facing offenders attempting to secure employment”)</w:t>
      </w:r>
      <w:r w:rsidR="005630AB">
        <w:t xml:space="preserve">; Calkins, C., et al., Sexual Violence Legislation: A Review of Case Law and Empirical Research, </w:t>
      </w:r>
      <w:r w:rsidR="005630AB">
        <w:rPr>
          <w:i/>
        </w:rPr>
        <w:t xml:space="preserve">Psychology, Public Policy, and Law, </w:t>
      </w:r>
      <w:r w:rsidR="005630AB">
        <w:t xml:space="preserve">20(4), 443-462 at 452 </w:t>
      </w:r>
      <w:r w:rsidR="008D13A8">
        <w:t xml:space="preserve">(2014); Prescott, J.J., Do Sex Offender Registries Make Us Less Safe? </w:t>
      </w:r>
      <w:r w:rsidR="008D13A8">
        <w:rPr>
          <w:i/>
        </w:rPr>
        <w:t>Crime &amp; Law Enforcement</w:t>
      </w:r>
      <w:r w:rsidR="008D13A8">
        <w:t>, pp.48-55 at 55 (2012).</w:t>
      </w:r>
    </w:p>
    <w:p w:rsidR="00885D3B" w:rsidRDefault="00885D3B">
      <w:pPr>
        <w:pStyle w:val="EndnoteText"/>
      </w:pPr>
    </w:p>
  </w:endnote>
  <w:endnote w:id="9">
    <w:p w:rsidR="00AC1DCC" w:rsidRPr="005630AB" w:rsidRDefault="00AC1DCC" w:rsidP="00AC1DCC">
      <w:pPr>
        <w:pStyle w:val="EndnoteText"/>
      </w:pPr>
      <w:r>
        <w:rPr>
          <w:rStyle w:val="EndnoteReference"/>
        </w:rPr>
        <w:endnoteRef/>
      </w:r>
      <w:r>
        <w:t xml:space="preserve"> Calkins, C., et al., Sexual Violence Legislation: A Review of Case Law and Empirical Research, </w:t>
      </w:r>
      <w:r>
        <w:rPr>
          <w:i/>
        </w:rPr>
        <w:t xml:space="preserve">Psychology, Public Policy, and Law, </w:t>
      </w:r>
      <w:r>
        <w:t>20(4), 443-462 at 452 (2014).</w:t>
      </w:r>
    </w:p>
    <w:p w:rsidR="00AC1DCC" w:rsidRDefault="00AC1DCC">
      <w:pPr>
        <w:pStyle w:val="EndnoteText"/>
      </w:pPr>
    </w:p>
  </w:endnote>
  <w:endnote w:id="10">
    <w:p w:rsidR="004312AB" w:rsidRPr="005630AB" w:rsidRDefault="004312AB" w:rsidP="004312AB">
      <w:pPr>
        <w:pStyle w:val="EndnoteText"/>
      </w:pPr>
      <w:r>
        <w:rPr>
          <w:rStyle w:val="EndnoteReference"/>
        </w:rPr>
        <w:endnoteRef/>
      </w:r>
      <w:r>
        <w:t xml:space="preserve"> Calkins, C., et al., Sexual Violence Legislation: A Review of Case Law and Empirical Research, </w:t>
      </w:r>
      <w:r>
        <w:rPr>
          <w:i/>
        </w:rPr>
        <w:t xml:space="preserve">Psychology, Public Policy, and Law, </w:t>
      </w:r>
      <w:r>
        <w:t>20(4), 443-462 at 452 (2014).</w:t>
      </w:r>
    </w:p>
    <w:p w:rsidR="004312AB" w:rsidRDefault="004312AB">
      <w:pPr>
        <w:pStyle w:val="EndnoteText"/>
      </w:pPr>
    </w:p>
  </w:endnote>
  <w:endnote w:id="11">
    <w:p w:rsidR="00AC1DCC" w:rsidRPr="005630AB" w:rsidRDefault="00AC1DCC" w:rsidP="00AC1DCC">
      <w:pPr>
        <w:pStyle w:val="EndnoteText"/>
      </w:pPr>
      <w:r>
        <w:rPr>
          <w:rStyle w:val="EndnoteReference"/>
        </w:rPr>
        <w:endnoteRef/>
      </w:r>
      <w:r>
        <w:t xml:space="preserve"> Calkins, C., et al., Sexual Violence Legislation: A Review of Case Law and Empirical Research, </w:t>
      </w:r>
      <w:r>
        <w:rPr>
          <w:i/>
        </w:rPr>
        <w:t xml:space="preserve">Psychology, Public Policy, and Law, </w:t>
      </w:r>
      <w:r>
        <w:t>20(4), 443-462 at 452 (2014).</w:t>
      </w:r>
    </w:p>
    <w:p w:rsidR="00AC1DCC" w:rsidRDefault="00AC1DCC">
      <w:pPr>
        <w:pStyle w:val="EndnoteText"/>
      </w:pPr>
    </w:p>
  </w:endnote>
  <w:endnote w:id="12">
    <w:p w:rsidR="00E97498" w:rsidRPr="009319ED" w:rsidRDefault="00E97498">
      <w:pPr>
        <w:pStyle w:val="EndnoteText"/>
      </w:pPr>
      <w:r w:rsidRPr="009319ED">
        <w:rPr>
          <w:rStyle w:val="EndnoteReference"/>
        </w:rPr>
        <w:endnoteRef/>
      </w:r>
      <w:r w:rsidRPr="009319ED">
        <w:t xml:space="preserve"> Prescott, J.J., Do Sex Offender Registries Make Us Less Safe? </w:t>
      </w:r>
      <w:r w:rsidRPr="009319ED">
        <w:rPr>
          <w:i/>
        </w:rPr>
        <w:t>Crime &amp; Law Enforcement</w:t>
      </w:r>
      <w:r w:rsidRPr="009319ED">
        <w:t>, pp.48-55 at 54 (2012)</w:t>
      </w:r>
      <w:r w:rsidR="002372FA" w:rsidRPr="009319ED">
        <w:t xml:space="preserve">; Sandler, J., Freeman, N. and </w:t>
      </w:r>
      <w:proofErr w:type="spellStart"/>
      <w:r w:rsidR="002372FA" w:rsidRPr="009319ED">
        <w:t>Socia</w:t>
      </w:r>
      <w:proofErr w:type="spellEnd"/>
      <w:r w:rsidR="002372FA" w:rsidRPr="009319ED">
        <w:t xml:space="preserve">, K., Does a Watched Pot Boil? </w:t>
      </w:r>
      <w:r w:rsidR="002372FA" w:rsidRPr="009319ED">
        <w:rPr>
          <w:i/>
        </w:rPr>
        <w:t xml:space="preserve">Psychology, Public Policy, and Law, </w:t>
      </w:r>
      <w:r w:rsidR="002372FA" w:rsidRPr="009319ED">
        <w:t>14(4), 284-302 at 299 (2008).</w:t>
      </w:r>
    </w:p>
    <w:p w:rsidR="00D3468C" w:rsidRPr="009319ED" w:rsidRDefault="00D3468C">
      <w:pPr>
        <w:pStyle w:val="EndnoteText"/>
      </w:pPr>
    </w:p>
  </w:endnote>
  <w:endnote w:id="13">
    <w:p w:rsidR="009319ED" w:rsidRPr="009319ED" w:rsidRDefault="009319ED" w:rsidP="009319ED">
      <w:pPr>
        <w:spacing w:after="0" w:line="240" w:lineRule="auto"/>
        <w:jc w:val="both"/>
        <w:rPr>
          <w:rFonts w:cs="Times New Roman"/>
          <w:sz w:val="20"/>
          <w:szCs w:val="20"/>
        </w:rPr>
      </w:pPr>
      <w:r w:rsidRPr="009319ED">
        <w:rPr>
          <w:rStyle w:val="EndnoteReference"/>
          <w:sz w:val="20"/>
          <w:szCs w:val="20"/>
        </w:rPr>
        <w:endnoteRef/>
      </w:r>
      <w:r w:rsidRPr="009319ED">
        <w:rPr>
          <w:sz w:val="20"/>
          <w:szCs w:val="20"/>
        </w:rPr>
        <w:t xml:space="preserve"> Calkins, C., et al., Sexual Violence Legislation: A Review of Case Law and Empirical Research, </w:t>
      </w:r>
      <w:r w:rsidRPr="009319ED">
        <w:rPr>
          <w:i/>
          <w:sz w:val="20"/>
          <w:szCs w:val="20"/>
        </w:rPr>
        <w:t xml:space="preserve">Psychology, Public Policy, and Law, </w:t>
      </w:r>
      <w:r w:rsidRPr="009319ED">
        <w:rPr>
          <w:sz w:val="20"/>
          <w:szCs w:val="20"/>
        </w:rPr>
        <w:t>20(4), 443-462 at 457 (2014) (</w:t>
      </w:r>
      <w:r w:rsidRPr="009319ED">
        <w:rPr>
          <w:rFonts w:cs="Times New Roman"/>
          <w:sz w:val="20"/>
          <w:szCs w:val="20"/>
        </w:rPr>
        <w:t>“[E]very dollar spent on housing a civilly committed offender, electronic monitoring, and administering and enforcing [registration and community notification laws] is a dollar that is not spent somewhere else, whether on evidence-based treatment of sex offenders, primary prevention efforts, victim services, or research aimed at bettering secondary prevention efforts, including early identification of</w:t>
      </w:r>
      <w:r w:rsidR="001D4058">
        <w:rPr>
          <w:rFonts w:cs="Times New Roman"/>
          <w:sz w:val="20"/>
          <w:szCs w:val="20"/>
        </w:rPr>
        <w:t xml:space="preserve"> </w:t>
      </w:r>
      <w:r w:rsidRPr="009319ED">
        <w:rPr>
          <w:rFonts w:cs="Times New Roman"/>
          <w:sz w:val="20"/>
          <w:szCs w:val="20"/>
        </w:rPr>
        <w:t>those who exhibit behaviors associated with sexual violence.”</w:t>
      </w:r>
    </w:p>
    <w:p w:rsidR="009319ED" w:rsidRDefault="009319ED" w:rsidP="009319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E1" w:rsidRDefault="003E5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E1" w:rsidRDefault="003E5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E1" w:rsidRDefault="003E5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9B" w:rsidRDefault="006E729B" w:rsidP="00605BA2">
      <w:pPr>
        <w:spacing w:after="0" w:line="240" w:lineRule="auto"/>
      </w:pPr>
      <w:r>
        <w:separator/>
      </w:r>
    </w:p>
  </w:footnote>
  <w:footnote w:type="continuationSeparator" w:id="0">
    <w:p w:rsidR="006E729B" w:rsidRDefault="006E729B" w:rsidP="0060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E1" w:rsidRDefault="003E5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E1" w:rsidRDefault="003E5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E1" w:rsidRDefault="003E5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932"/>
    <w:multiLevelType w:val="hybridMultilevel"/>
    <w:tmpl w:val="B10C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04B86"/>
    <w:multiLevelType w:val="hybridMultilevel"/>
    <w:tmpl w:val="390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86001"/>
    <w:multiLevelType w:val="hybridMultilevel"/>
    <w:tmpl w:val="A9E8C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7A"/>
    <w:rsid w:val="0000433B"/>
    <w:rsid w:val="00005AD0"/>
    <w:rsid w:val="00037529"/>
    <w:rsid w:val="00037B63"/>
    <w:rsid w:val="0004381A"/>
    <w:rsid w:val="00045431"/>
    <w:rsid w:val="00051188"/>
    <w:rsid w:val="00064708"/>
    <w:rsid w:val="000668C4"/>
    <w:rsid w:val="0007077F"/>
    <w:rsid w:val="00076B96"/>
    <w:rsid w:val="000A1180"/>
    <w:rsid w:val="000B302A"/>
    <w:rsid w:val="000B4CA1"/>
    <w:rsid w:val="000C5A33"/>
    <w:rsid w:val="000D2AB8"/>
    <w:rsid w:val="000D4041"/>
    <w:rsid w:val="000E1723"/>
    <w:rsid w:val="00124B8E"/>
    <w:rsid w:val="001309D3"/>
    <w:rsid w:val="00143CEA"/>
    <w:rsid w:val="00144811"/>
    <w:rsid w:val="00146937"/>
    <w:rsid w:val="00151D25"/>
    <w:rsid w:val="00156CEB"/>
    <w:rsid w:val="001674A7"/>
    <w:rsid w:val="00173DD7"/>
    <w:rsid w:val="001856D4"/>
    <w:rsid w:val="001903AF"/>
    <w:rsid w:val="00197665"/>
    <w:rsid w:val="001A4862"/>
    <w:rsid w:val="001B2032"/>
    <w:rsid w:val="001B5529"/>
    <w:rsid w:val="001C1DE6"/>
    <w:rsid w:val="001C48F1"/>
    <w:rsid w:val="001C7BCF"/>
    <w:rsid w:val="001D4058"/>
    <w:rsid w:val="001F2F25"/>
    <w:rsid w:val="001F7B06"/>
    <w:rsid w:val="00210306"/>
    <w:rsid w:val="00220CD0"/>
    <w:rsid w:val="002335ED"/>
    <w:rsid w:val="002372FA"/>
    <w:rsid w:val="00242EC7"/>
    <w:rsid w:val="002513DC"/>
    <w:rsid w:val="00254E76"/>
    <w:rsid w:val="00256082"/>
    <w:rsid w:val="002774B3"/>
    <w:rsid w:val="0029236F"/>
    <w:rsid w:val="002A49AB"/>
    <w:rsid w:val="002A53DE"/>
    <w:rsid w:val="002A5618"/>
    <w:rsid w:val="002B16C0"/>
    <w:rsid w:val="002B2A65"/>
    <w:rsid w:val="002C36E5"/>
    <w:rsid w:val="002C62DF"/>
    <w:rsid w:val="002D2A00"/>
    <w:rsid w:val="002F0E9C"/>
    <w:rsid w:val="002F2003"/>
    <w:rsid w:val="002F5E57"/>
    <w:rsid w:val="002F7D65"/>
    <w:rsid w:val="00302A98"/>
    <w:rsid w:val="003125DD"/>
    <w:rsid w:val="00325118"/>
    <w:rsid w:val="003359AC"/>
    <w:rsid w:val="0034209B"/>
    <w:rsid w:val="00361446"/>
    <w:rsid w:val="00373DA5"/>
    <w:rsid w:val="0038389D"/>
    <w:rsid w:val="003908EF"/>
    <w:rsid w:val="003A1205"/>
    <w:rsid w:val="003A6C1E"/>
    <w:rsid w:val="003A7D37"/>
    <w:rsid w:val="003B53FB"/>
    <w:rsid w:val="003B67AF"/>
    <w:rsid w:val="003C06F3"/>
    <w:rsid w:val="003C1424"/>
    <w:rsid w:val="003C2530"/>
    <w:rsid w:val="003C39E1"/>
    <w:rsid w:val="003C68A4"/>
    <w:rsid w:val="003D2255"/>
    <w:rsid w:val="003D3D24"/>
    <w:rsid w:val="003D492E"/>
    <w:rsid w:val="003E52E1"/>
    <w:rsid w:val="003F1F24"/>
    <w:rsid w:val="003F2AA0"/>
    <w:rsid w:val="003F7714"/>
    <w:rsid w:val="00407648"/>
    <w:rsid w:val="004312AB"/>
    <w:rsid w:val="004315A8"/>
    <w:rsid w:val="004566FA"/>
    <w:rsid w:val="00460E6F"/>
    <w:rsid w:val="00466BEE"/>
    <w:rsid w:val="00482542"/>
    <w:rsid w:val="004841ED"/>
    <w:rsid w:val="00492060"/>
    <w:rsid w:val="00494ED8"/>
    <w:rsid w:val="004954CC"/>
    <w:rsid w:val="004959B1"/>
    <w:rsid w:val="004A1D24"/>
    <w:rsid w:val="004D1503"/>
    <w:rsid w:val="004D23D7"/>
    <w:rsid w:val="004D3C48"/>
    <w:rsid w:val="004E0E04"/>
    <w:rsid w:val="004E4D2B"/>
    <w:rsid w:val="004F0A97"/>
    <w:rsid w:val="005052AF"/>
    <w:rsid w:val="00506129"/>
    <w:rsid w:val="005301D0"/>
    <w:rsid w:val="00536734"/>
    <w:rsid w:val="0054265D"/>
    <w:rsid w:val="005426F3"/>
    <w:rsid w:val="00545EF0"/>
    <w:rsid w:val="005563AE"/>
    <w:rsid w:val="005630AB"/>
    <w:rsid w:val="005707EB"/>
    <w:rsid w:val="005815C6"/>
    <w:rsid w:val="0059247A"/>
    <w:rsid w:val="005B4E5B"/>
    <w:rsid w:val="005C1224"/>
    <w:rsid w:val="005C1453"/>
    <w:rsid w:val="005C1B88"/>
    <w:rsid w:val="005D2D23"/>
    <w:rsid w:val="005E0605"/>
    <w:rsid w:val="005E124A"/>
    <w:rsid w:val="0060403C"/>
    <w:rsid w:val="0060533D"/>
    <w:rsid w:val="00605BA2"/>
    <w:rsid w:val="00612B37"/>
    <w:rsid w:val="00612C85"/>
    <w:rsid w:val="006148C0"/>
    <w:rsid w:val="00620DA9"/>
    <w:rsid w:val="006341B4"/>
    <w:rsid w:val="006342BD"/>
    <w:rsid w:val="0065559D"/>
    <w:rsid w:val="006622CD"/>
    <w:rsid w:val="00667C2F"/>
    <w:rsid w:val="006707B6"/>
    <w:rsid w:val="0068509F"/>
    <w:rsid w:val="00691FE0"/>
    <w:rsid w:val="006A51ED"/>
    <w:rsid w:val="006A58FF"/>
    <w:rsid w:val="006B2F2A"/>
    <w:rsid w:val="006C394B"/>
    <w:rsid w:val="006E729B"/>
    <w:rsid w:val="006F3C18"/>
    <w:rsid w:val="006F5FA1"/>
    <w:rsid w:val="00702DE3"/>
    <w:rsid w:val="00710258"/>
    <w:rsid w:val="007152FD"/>
    <w:rsid w:val="007377C9"/>
    <w:rsid w:val="00741012"/>
    <w:rsid w:val="00745AF5"/>
    <w:rsid w:val="00747C9A"/>
    <w:rsid w:val="00751126"/>
    <w:rsid w:val="0075546F"/>
    <w:rsid w:val="0075565C"/>
    <w:rsid w:val="0075689A"/>
    <w:rsid w:val="00766160"/>
    <w:rsid w:val="00772156"/>
    <w:rsid w:val="0077344A"/>
    <w:rsid w:val="007904E4"/>
    <w:rsid w:val="00792B90"/>
    <w:rsid w:val="00795BBC"/>
    <w:rsid w:val="007A1F0A"/>
    <w:rsid w:val="007A2782"/>
    <w:rsid w:val="007B54A0"/>
    <w:rsid w:val="007D22DD"/>
    <w:rsid w:val="007F2867"/>
    <w:rsid w:val="007F6F2F"/>
    <w:rsid w:val="008032DE"/>
    <w:rsid w:val="00823530"/>
    <w:rsid w:val="008256D2"/>
    <w:rsid w:val="0083636E"/>
    <w:rsid w:val="00840D4A"/>
    <w:rsid w:val="0085601D"/>
    <w:rsid w:val="00877572"/>
    <w:rsid w:val="00883237"/>
    <w:rsid w:val="00885D3B"/>
    <w:rsid w:val="008909A2"/>
    <w:rsid w:val="008A283A"/>
    <w:rsid w:val="008A3220"/>
    <w:rsid w:val="008C05AA"/>
    <w:rsid w:val="008C71AC"/>
    <w:rsid w:val="008D13A8"/>
    <w:rsid w:val="008F2CF9"/>
    <w:rsid w:val="008F3C8E"/>
    <w:rsid w:val="008F5ECC"/>
    <w:rsid w:val="008F7B47"/>
    <w:rsid w:val="00912B18"/>
    <w:rsid w:val="009319ED"/>
    <w:rsid w:val="0094007C"/>
    <w:rsid w:val="00943700"/>
    <w:rsid w:val="00953005"/>
    <w:rsid w:val="00966C00"/>
    <w:rsid w:val="00971326"/>
    <w:rsid w:val="00980654"/>
    <w:rsid w:val="0099200F"/>
    <w:rsid w:val="00996C3A"/>
    <w:rsid w:val="009D3412"/>
    <w:rsid w:val="009D6F1A"/>
    <w:rsid w:val="009E59EE"/>
    <w:rsid w:val="009E755C"/>
    <w:rsid w:val="00A02731"/>
    <w:rsid w:val="00A076F0"/>
    <w:rsid w:val="00A3043A"/>
    <w:rsid w:val="00A31B63"/>
    <w:rsid w:val="00A32EEA"/>
    <w:rsid w:val="00A3374E"/>
    <w:rsid w:val="00A33C12"/>
    <w:rsid w:val="00A42712"/>
    <w:rsid w:val="00A45EA9"/>
    <w:rsid w:val="00A51753"/>
    <w:rsid w:val="00A61849"/>
    <w:rsid w:val="00A62F03"/>
    <w:rsid w:val="00A639EE"/>
    <w:rsid w:val="00A63CD4"/>
    <w:rsid w:val="00A63DFA"/>
    <w:rsid w:val="00A64BB0"/>
    <w:rsid w:val="00A64BB3"/>
    <w:rsid w:val="00A66ED7"/>
    <w:rsid w:val="00A70582"/>
    <w:rsid w:val="00A77FA4"/>
    <w:rsid w:val="00A90A1B"/>
    <w:rsid w:val="00A91D56"/>
    <w:rsid w:val="00AA7EE5"/>
    <w:rsid w:val="00AC1DCC"/>
    <w:rsid w:val="00AC280B"/>
    <w:rsid w:val="00AC4865"/>
    <w:rsid w:val="00AC7B86"/>
    <w:rsid w:val="00AD1CF7"/>
    <w:rsid w:val="00AD7A31"/>
    <w:rsid w:val="00AE716B"/>
    <w:rsid w:val="00B0069C"/>
    <w:rsid w:val="00B106BA"/>
    <w:rsid w:val="00B111FB"/>
    <w:rsid w:val="00B12AD7"/>
    <w:rsid w:val="00B1488C"/>
    <w:rsid w:val="00B201FA"/>
    <w:rsid w:val="00B20D81"/>
    <w:rsid w:val="00B275C3"/>
    <w:rsid w:val="00B40E41"/>
    <w:rsid w:val="00B42A5C"/>
    <w:rsid w:val="00B46247"/>
    <w:rsid w:val="00B613A2"/>
    <w:rsid w:val="00B71DF1"/>
    <w:rsid w:val="00B73213"/>
    <w:rsid w:val="00B87E97"/>
    <w:rsid w:val="00B901A6"/>
    <w:rsid w:val="00B97D45"/>
    <w:rsid w:val="00BA0516"/>
    <w:rsid w:val="00BA2948"/>
    <w:rsid w:val="00BB19CE"/>
    <w:rsid w:val="00BC21D6"/>
    <w:rsid w:val="00BD5DCF"/>
    <w:rsid w:val="00BD69A6"/>
    <w:rsid w:val="00BD6E5A"/>
    <w:rsid w:val="00BF02EE"/>
    <w:rsid w:val="00BF1CBE"/>
    <w:rsid w:val="00BF3C85"/>
    <w:rsid w:val="00BF6826"/>
    <w:rsid w:val="00C11B67"/>
    <w:rsid w:val="00C1217A"/>
    <w:rsid w:val="00C16904"/>
    <w:rsid w:val="00C17F2A"/>
    <w:rsid w:val="00C26E00"/>
    <w:rsid w:val="00C450F3"/>
    <w:rsid w:val="00C45848"/>
    <w:rsid w:val="00C57145"/>
    <w:rsid w:val="00C65C6D"/>
    <w:rsid w:val="00C83E7A"/>
    <w:rsid w:val="00C84871"/>
    <w:rsid w:val="00C87369"/>
    <w:rsid w:val="00CA776B"/>
    <w:rsid w:val="00CB024A"/>
    <w:rsid w:val="00CC1002"/>
    <w:rsid w:val="00CC4E04"/>
    <w:rsid w:val="00CD66B0"/>
    <w:rsid w:val="00CE3811"/>
    <w:rsid w:val="00CE7C15"/>
    <w:rsid w:val="00CF5C68"/>
    <w:rsid w:val="00D06B33"/>
    <w:rsid w:val="00D0737E"/>
    <w:rsid w:val="00D147B2"/>
    <w:rsid w:val="00D151E3"/>
    <w:rsid w:val="00D21BD3"/>
    <w:rsid w:val="00D23AF9"/>
    <w:rsid w:val="00D259A4"/>
    <w:rsid w:val="00D3468C"/>
    <w:rsid w:val="00D37EC7"/>
    <w:rsid w:val="00D42BC1"/>
    <w:rsid w:val="00D53763"/>
    <w:rsid w:val="00D60157"/>
    <w:rsid w:val="00D642F9"/>
    <w:rsid w:val="00D65D9E"/>
    <w:rsid w:val="00D74F82"/>
    <w:rsid w:val="00D76006"/>
    <w:rsid w:val="00D76F27"/>
    <w:rsid w:val="00D809D5"/>
    <w:rsid w:val="00D80A87"/>
    <w:rsid w:val="00D81D24"/>
    <w:rsid w:val="00D8717F"/>
    <w:rsid w:val="00DA02F6"/>
    <w:rsid w:val="00DB0562"/>
    <w:rsid w:val="00DB11DD"/>
    <w:rsid w:val="00DB3EC6"/>
    <w:rsid w:val="00DC7C41"/>
    <w:rsid w:val="00DD0E9B"/>
    <w:rsid w:val="00DD63B6"/>
    <w:rsid w:val="00DF720E"/>
    <w:rsid w:val="00E12831"/>
    <w:rsid w:val="00E32030"/>
    <w:rsid w:val="00E4121A"/>
    <w:rsid w:val="00E42283"/>
    <w:rsid w:val="00E45C60"/>
    <w:rsid w:val="00E512A6"/>
    <w:rsid w:val="00E62F00"/>
    <w:rsid w:val="00E7315D"/>
    <w:rsid w:val="00E76AE0"/>
    <w:rsid w:val="00E81BC0"/>
    <w:rsid w:val="00E81D99"/>
    <w:rsid w:val="00E86DD5"/>
    <w:rsid w:val="00E874CC"/>
    <w:rsid w:val="00E912A6"/>
    <w:rsid w:val="00E95954"/>
    <w:rsid w:val="00E97498"/>
    <w:rsid w:val="00EA5EDC"/>
    <w:rsid w:val="00EA749F"/>
    <w:rsid w:val="00EB63BE"/>
    <w:rsid w:val="00EC0E6B"/>
    <w:rsid w:val="00F03486"/>
    <w:rsid w:val="00F03EDC"/>
    <w:rsid w:val="00F06BEE"/>
    <w:rsid w:val="00F171E4"/>
    <w:rsid w:val="00F23C7F"/>
    <w:rsid w:val="00F24601"/>
    <w:rsid w:val="00F40067"/>
    <w:rsid w:val="00F51238"/>
    <w:rsid w:val="00F53D55"/>
    <w:rsid w:val="00F61EE9"/>
    <w:rsid w:val="00F67F8B"/>
    <w:rsid w:val="00F71374"/>
    <w:rsid w:val="00F75E41"/>
    <w:rsid w:val="00F7651A"/>
    <w:rsid w:val="00F76EE0"/>
    <w:rsid w:val="00F817FE"/>
    <w:rsid w:val="00F819B9"/>
    <w:rsid w:val="00F921D7"/>
    <w:rsid w:val="00FA21F1"/>
    <w:rsid w:val="00FA6857"/>
    <w:rsid w:val="00FB5DB1"/>
    <w:rsid w:val="00FC4C7F"/>
    <w:rsid w:val="00FE0E74"/>
    <w:rsid w:val="00FE1F08"/>
    <w:rsid w:val="00FE65B0"/>
    <w:rsid w:val="00FE6BCA"/>
    <w:rsid w:val="00FF4BA7"/>
    <w:rsid w:val="00FF5CC0"/>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BA2"/>
    <w:rPr>
      <w:sz w:val="20"/>
      <w:szCs w:val="20"/>
    </w:rPr>
  </w:style>
  <w:style w:type="character" w:styleId="FootnoteReference">
    <w:name w:val="footnote reference"/>
    <w:basedOn w:val="DefaultParagraphFont"/>
    <w:uiPriority w:val="99"/>
    <w:semiHidden/>
    <w:unhideWhenUsed/>
    <w:rsid w:val="00605BA2"/>
    <w:rPr>
      <w:vertAlign w:val="superscript"/>
    </w:rPr>
  </w:style>
  <w:style w:type="paragraph" w:styleId="ListParagraph">
    <w:name w:val="List Paragraph"/>
    <w:basedOn w:val="Normal"/>
    <w:uiPriority w:val="34"/>
    <w:qFormat/>
    <w:rsid w:val="006342BD"/>
    <w:pPr>
      <w:ind w:left="720"/>
      <w:contextualSpacing/>
    </w:pPr>
  </w:style>
  <w:style w:type="paragraph" w:styleId="NormalWeb">
    <w:name w:val="Normal (Web)"/>
    <w:basedOn w:val="Normal"/>
    <w:uiPriority w:val="99"/>
    <w:semiHidden/>
    <w:unhideWhenUsed/>
    <w:rsid w:val="00634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2BD"/>
    <w:rPr>
      <w:color w:val="0000FF"/>
      <w:u w:val="single"/>
    </w:rPr>
  </w:style>
  <w:style w:type="character" w:customStyle="1" w:styleId="ssit">
    <w:name w:val="ssit"/>
    <w:basedOn w:val="DefaultParagraphFont"/>
    <w:rsid w:val="006342BD"/>
  </w:style>
  <w:style w:type="character" w:customStyle="1" w:styleId="sspagshow">
    <w:name w:val="sspagshow"/>
    <w:basedOn w:val="DefaultParagraphFont"/>
    <w:rsid w:val="006342BD"/>
  </w:style>
  <w:style w:type="character" w:customStyle="1" w:styleId="sssmcaps">
    <w:name w:val="sssmcaps"/>
    <w:basedOn w:val="DefaultParagraphFont"/>
    <w:rsid w:val="006342BD"/>
  </w:style>
  <w:style w:type="paragraph" w:styleId="Header">
    <w:name w:val="header"/>
    <w:basedOn w:val="Normal"/>
    <w:link w:val="HeaderChar"/>
    <w:uiPriority w:val="99"/>
    <w:unhideWhenUsed/>
    <w:rsid w:val="003E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E1"/>
  </w:style>
  <w:style w:type="paragraph" w:styleId="Footer">
    <w:name w:val="footer"/>
    <w:basedOn w:val="Normal"/>
    <w:link w:val="FooterChar"/>
    <w:uiPriority w:val="99"/>
    <w:unhideWhenUsed/>
    <w:rsid w:val="003E5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E1"/>
  </w:style>
  <w:style w:type="paragraph" w:styleId="BalloonText">
    <w:name w:val="Balloon Text"/>
    <w:basedOn w:val="Normal"/>
    <w:link w:val="BalloonTextChar"/>
    <w:uiPriority w:val="99"/>
    <w:semiHidden/>
    <w:unhideWhenUsed/>
    <w:rsid w:val="00DF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20E"/>
    <w:rPr>
      <w:rFonts w:ascii="Tahoma" w:hAnsi="Tahoma" w:cs="Tahoma"/>
      <w:sz w:val="16"/>
      <w:szCs w:val="16"/>
    </w:rPr>
  </w:style>
  <w:style w:type="paragraph" w:styleId="EndnoteText">
    <w:name w:val="endnote text"/>
    <w:basedOn w:val="Normal"/>
    <w:link w:val="EndnoteTextChar"/>
    <w:uiPriority w:val="99"/>
    <w:semiHidden/>
    <w:unhideWhenUsed/>
    <w:rsid w:val="000A11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1180"/>
    <w:rPr>
      <w:sz w:val="20"/>
      <w:szCs w:val="20"/>
    </w:rPr>
  </w:style>
  <w:style w:type="character" w:styleId="EndnoteReference">
    <w:name w:val="endnote reference"/>
    <w:basedOn w:val="DefaultParagraphFont"/>
    <w:uiPriority w:val="99"/>
    <w:semiHidden/>
    <w:unhideWhenUsed/>
    <w:rsid w:val="000A11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BA2"/>
    <w:rPr>
      <w:sz w:val="20"/>
      <w:szCs w:val="20"/>
    </w:rPr>
  </w:style>
  <w:style w:type="character" w:styleId="FootnoteReference">
    <w:name w:val="footnote reference"/>
    <w:basedOn w:val="DefaultParagraphFont"/>
    <w:uiPriority w:val="99"/>
    <w:semiHidden/>
    <w:unhideWhenUsed/>
    <w:rsid w:val="00605BA2"/>
    <w:rPr>
      <w:vertAlign w:val="superscript"/>
    </w:rPr>
  </w:style>
  <w:style w:type="paragraph" w:styleId="ListParagraph">
    <w:name w:val="List Paragraph"/>
    <w:basedOn w:val="Normal"/>
    <w:uiPriority w:val="34"/>
    <w:qFormat/>
    <w:rsid w:val="006342BD"/>
    <w:pPr>
      <w:ind w:left="720"/>
      <w:contextualSpacing/>
    </w:pPr>
  </w:style>
  <w:style w:type="paragraph" w:styleId="NormalWeb">
    <w:name w:val="Normal (Web)"/>
    <w:basedOn w:val="Normal"/>
    <w:uiPriority w:val="99"/>
    <w:semiHidden/>
    <w:unhideWhenUsed/>
    <w:rsid w:val="00634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2BD"/>
    <w:rPr>
      <w:color w:val="0000FF"/>
      <w:u w:val="single"/>
    </w:rPr>
  </w:style>
  <w:style w:type="character" w:customStyle="1" w:styleId="ssit">
    <w:name w:val="ssit"/>
    <w:basedOn w:val="DefaultParagraphFont"/>
    <w:rsid w:val="006342BD"/>
  </w:style>
  <w:style w:type="character" w:customStyle="1" w:styleId="sspagshow">
    <w:name w:val="sspagshow"/>
    <w:basedOn w:val="DefaultParagraphFont"/>
    <w:rsid w:val="006342BD"/>
  </w:style>
  <w:style w:type="character" w:customStyle="1" w:styleId="sssmcaps">
    <w:name w:val="sssmcaps"/>
    <w:basedOn w:val="DefaultParagraphFont"/>
    <w:rsid w:val="006342BD"/>
  </w:style>
  <w:style w:type="paragraph" w:styleId="Header">
    <w:name w:val="header"/>
    <w:basedOn w:val="Normal"/>
    <w:link w:val="HeaderChar"/>
    <w:uiPriority w:val="99"/>
    <w:unhideWhenUsed/>
    <w:rsid w:val="003E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E1"/>
  </w:style>
  <w:style w:type="paragraph" w:styleId="Footer">
    <w:name w:val="footer"/>
    <w:basedOn w:val="Normal"/>
    <w:link w:val="FooterChar"/>
    <w:uiPriority w:val="99"/>
    <w:unhideWhenUsed/>
    <w:rsid w:val="003E5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E1"/>
  </w:style>
  <w:style w:type="paragraph" w:styleId="BalloonText">
    <w:name w:val="Balloon Text"/>
    <w:basedOn w:val="Normal"/>
    <w:link w:val="BalloonTextChar"/>
    <w:uiPriority w:val="99"/>
    <w:semiHidden/>
    <w:unhideWhenUsed/>
    <w:rsid w:val="00DF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20E"/>
    <w:rPr>
      <w:rFonts w:ascii="Tahoma" w:hAnsi="Tahoma" w:cs="Tahoma"/>
      <w:sz w:val="16"/>
      <w:szCs w:val="16"/>
    </w:rPr>
  </w:style>
  <w:style w:type="paragraph" w:styleId="EndnoteText">
    <w:name w:val="endnote text"/>
    <w:basedOn w:val="Normal"/>
    <w:link w:val="EndnoteTextChar"/>
    <w:uiPriority w:val="99"/>
    <w:semiHidden/>
    <w:unhideWhenUsed/>
    <w:rsid w:val="000A11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1180"/>
    <w:rPr>
      <w:sz w:val="20"/>
      <w:szCs w:val="20"/>
    </w:rPr>
  </w:style>
  <w:style w:type="character" w:styleId="EndnoteReference">
    <w:name w:val="endnote reference"/>
    <w:basedOn w:val="DefaultParagraphFont"/>
    <w:uiPriority w:val="99"/>
    <w:semiHidden/>
    <w:unhideWhenUsed/>
    <w:rsid w:val="000A1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05080">
      <w:bodyDiv w:val="1"/>
      <w:marLeft w:val="0"/>
      <w:marRight w:val="0"/>
      <w:marTop w:val="0"/>
      <w:marBottom w:val="0"/>
      <w:divBdr>
        <w:top w:val="none" w:sz="0" w:space="0" w:color="auto"/>
        <w:left w:val="none" w:sz="0" w:space="0" w:color="auto"/>
        <w:bottom w:val="none" w:sz="0" w:space="0" w:color="auto"/>
        <w:right w:val="none" w:sz="0" w:space="0" w:color="auto"/>
      </w:divBdr>
      <w:divsChild>
        <w:div w:id="119231204">
          <w:marLeft w:val="0"/>
          <w:marRight w:val="0"/>
          <w:marTop w:val="0"/>
          <w:marBottom w:val="0"/>
          <w:divBdr>
            <w:top w:val="none" w:sz="0" w:space="0" w:color="auto"/>
            <w:left w:val="none" w:sz="0" w:space="0" w:color="auto"/>
            <w:bottom w:val="none" w:sz="0" w:space="0" w:color="auto"/>
            <w:right w:val="none" w:sz="0" w:space="0" w:color="auto"/>
          </w:divBdr>
          <w:divsChild>
            <w:div w:id="1908031859">
              <w:marLeft w:val="0"/>
              <w:marRight w:val="0"/>
              <w:marTop w:val="0"/>
              <w:marBottom w:val="0"/>
              <w:divBdr>
                <w:top w:val="none" w:sz="0" w:space="0" w:color="auto"/>
                <w:left w:val="none" w:sz="0" w:space="0" w:color="auto"/>
                <w:bottom w:val="none" w:sz="0" w:space="0" w:color="auto"/>
                <w:right w:val="none" w:sz="0" w:space="0" w:color="auto"/>
              </w:divBdr>
              <w:divsChild>
                <w:div w:id="1822380723">
                  <w:marLeft w:val="0"/>
                  <w:marRight w:val="0"/>
                  <w:marTop w:val="0"/>
                  <w:marBottom w:val="0"/>
                  <w:divBdr>
                    <w:top w:val="none" w:sz="0" w:space="0" w:color="auto"/>
                    <w:left w:val="none" w:sz="0" w:space="0" w:color="auto"/>
                    <w:bottom w:val="none" w:sz="0" w:space="0" w:color="auto"/>
                    <w:right w:val="none" w:sz="0" w:space="0" w:color="auto"/>
                  </w:divBdr>
                </w:div>
                <w:div w:id="959917226">
                  <w:marLeft w:val="0"/>
                  <w:marRight w:val="0"/>
                  <w:marTop w:val="0"/>
                  <w:marBottom w:val="0"/>
                  <w:divBdr>
                    <w:top w:val="none" w:sz="0" w:space="0" w:color="auto"/>
                    <w:left w:val="none" w:sz="0" w:space="0" w:color="auto"/>
                    <w:bottom w:val="none" w:sz="0" w:space="0" w:color="auto"/>
                    <w:right w:val="none" w:sz="0" w:space="0" w:color="auto"/>
                  </w:divBdr>
                </w:div>
                <w:div w:id="2088379640">
                  <w:marLeft w:val="0"/>
                  <w:marRight w:val="0"/>
                  <w:marTop w:val="0"/>
                  <w:marBottom w:val="0"/>
                  <w:divBdr>
                    <w:top w:val="none" w:sz="0" w:space="0" w:color="auto"/>
                    <w:left w:val="none" w:sz="0" w:space="0" w:color="auto"/>
                    <w:bottom w:val="none" w:sz="0" w:space="0" w:color="auto"/>
                    <w:right w:val="none" w:sz="0" w:space="0" w:color="auto"/>
                  </w:divBdr>
                </w:div>
                <w:div w:id="1660965332">
                  <w:marLeft w:val="0"/>
                  <w:marRight w:val="0"/>
                  <w:marTop w:val="0"/>
                  <w:marBottom w:val="0"/>
                  <w:divBdr>
                    <w:top w:val="none" w:sz="0" w:space="0" w:color="auto"/>
                    <w:left w:val="none" w:sz="0" w:space="0" w:color="auto"/>
                    <w:bottom w:val="none" w:sz="0" w:space="0" w:color="auto"/>
                    <w:right w:val="none" w:sz="0" w:space="0" w:color="auto"/>
                  </w:divBdr>
                </w:div>
                <w:div w:id="1329821593">
                  <w:marLeft w:val="0"/>
                  <w:marRight w:val="0"/>
                  <w:marTop w:val="0"/>
                  <w:marBottom w:val="0"/>
                  <w:divBdr>
                    <w:top w:val="none" w:sz="0" w:space="0" w:color="auto"/>
                    <w:left w:val="none" w:sz="0" w:space="0" w:color="auto"/>
                    <w:bottom w:val="none" w:sz="0" w:space="0" w:color="auto"/>
                    <w:right w:val="none" w:sz="0" w:space="0" w:color="auto"/>
                  </w:divBdr>
                </w:div>
                <w:div w:id="1102145662">
                  <w:marLeft w:val="0"/>
                  <w:marRight w:val="0"/>
                  <w:marTop w:val="0"/>
                  <w:marBottom w:val="0"/>
                  <w:divBdr>
                    <w:top w:val="none" w:sz="0" w:space="0" w:color="auto"/>
                    <w:left w:val="none" w:sz="0" w:space="0" w:color="auto"/>
                    <w:bottom w:val="none" w:sz="0" w:space="0" w:color="auto"/>
                    <w:right w:val="none" w:sz="0" w:space="0" w:color="auto"/>
                  </w:divBdr>
                </w:div>
                <w:div w:id="1178353880">
                  <w:marLeft w:val="0"/>
                  <w:marRight w:val="0"/>
                  <w:marTop w:val="0"/>
                  <w:marBottom w:val="0"/>
                  <w:divBdr>
                    <w:top w:val="none" w:sz="0" w:space="0" w:color="auto"/>
                    <w:left w:val="none" w:sz="0" w:space="0" w:color="auto"/>
                    <w:bottom w:val="none" w:sz="0" w:space="0" w:color="auto"/>
                    <w:right w:val="none" w:sz="0" w:space="0" w:color="auto"/>
                  </w:divBdr>
                </w:div>
                <w:div w:id="671690258">
                  <w:marLeft w:val="0"/>
                  <w:marRight w:val="0"/>
                  <w:marTop w:val="0"/>
                  <w:marBottom w:val="0"/>
                  <w:divBdr>
                    <w:top w:val="none" w:sz="0" w:space="0" w:color="auto"/>
                    <w:left w:val="none" w:sz="0" w:space="0" w:color="auto"/>
                    <w:bottom w:val="none" w:sz="0" w:space="0" w:color="auto"/>
                    <w:right w:val="none" w:sz="0" w:space="0" w:color="auto"/>
                  </w:divBdr>
                </w:div>
                <w:div w:id="256251752">
                  <w:marLeft w:val="0"/>
                  <w:marRight w:val="0"/>
                  <w:marTop w:val="0"/>
                  <w:marBottom w:val="0"/>
                  <w:divBdr>
                    <w:top w:val="none" w:sz="0" w:space="0" w:color="auto"/>
                    <w:left w:val="none" w:sz="0" w:space="0" w:color="auto"/>
                    <w:bottom w:val="none" w:sz="0" w:space="0" w:color="auto"/>
                    <w:right w:val="none" w:sz="0" w:space="0" w:color="auto"/>
                  </w:divBdr>
                </w:div>
                <w:div w:id="37171953">
                  <w:marLeft w:val="0"/>
                  <w:marRight w:val="0"/>
                  <w:marTop w:val="0"/>
                  <w:marBottom w:val="0"/>
                  <w:divBdr>
                    <w:top w:val="none" w:sz="0" w:space="0" w:color="auto"/>
                    <w:left w:val="none" w:sz="0" w:space="0" w:color="auto"/>
                    <w:bottom w:val="none" w:sz="0" w:space="0" w:color="auto"/>
                    <w:right w:val="none" w:sz="0" w:space="0" w:color="auto"/>
                  </w:divBdr>
                </w:div>
                <w:div w:id="1302032627">
                  <w:marLeft w:val="0"/>
                  <w:marRight w:val="0"/>
                  <w:marTop w:val="0"/>
                  <w:marBottom w:val="0"/>
                  <w:divBdr>
                    <w:top w:val="none" w:sz="0" w:space="0" w:color="auto"/>
                    <w:left w:val="none" w:sz="0" w:space="0" w:color="auto"/>
                    <w:bottom w:val="none" w:sz="0" w:space="0" w:color="auto"/>
                    <w:right w:val="none" w:sz="0" w:space="0" w:color="auto"/>
                  </w:divBdr>
                </w:div>
                <w:div w:id="892279095">
                  <w:marLeft w:val="0"/>
                  <w:marRight w:val="0"/>
                  <w:marTop w:val="0"/>
                  <w:marBottom w:val="0"/>
                  <w:divBdr>
                    <w:top w:val="none" w:sz="0" w:space="0" w:color="auto"/>
                    <w:left w:val="none" w:sz="0" w:space="0" w:color="auto"/>
                    <w:bottom w:val="none" w:sz="0" w:space="0" w:color="auto"/>
                    <w:right w:val="none" w:sz="0" w:space="0" w:color="auto"/>
                  </w:divBdr>
                </w:div>
                <w:div w:id="1666669356">
                  <w:marLeft w:val="0"/>
                  <w:marRight w:val="0"/>
                  <w:marTop w:val="0"/>
                  <w:marBottom w:val="0"/>
                  <w:divBdr>
                    <w:top w:val="none" w:sz="0" w:space="0" w:color="auto"/>
                    <w:left w:val="none" w:sz="0" w:space="0" w:color="auto"/>
                    <w:bottom w:val="none" w:sz="0" w:space="0" w:color="auto"/>
                    <w:right w:val="none" w:sz="0" w:space="0" w:color="auto"/>
                  </w:divBdr>
                </w:div>
                <w:div w:id="1384209893">
                  <w:marLeft w:val="0"/>
                  <w:marRight w:val="0"/>
                  <w:marTop w:val="0"/>
                  <w:marBottom w:val="0"/>
                  <w:divBdr>
                    <w:top w:val="none" w:sz="0" w:space="0" w:color="auto"/>
                    <w:left w:val="none" w:sz="0" w:space="0" w:color="auto"/>
                    <w:bottom w:val="none" w:sz="0" w:space="0" w:color="auto"/>
                    <w:right w:val="none" w:sz="0" w:space="0" w:color="auto"/>
                  </w:divBdr>
                </w:div>
                <w:div w:id="1261836114">
                  <w:marLeft w:val="0"/>
                  <w:marRight w:val="0"/>
                  <w:marTop w:val="0"/>
                  <w:marBottom w:val="0"/>
                  <w:divBdr>
                    <w:top w:val="none" w:sz="0" w:space="0" w:color="auto"/>
                    <w:left w:val="none" w:sz="0" w:space="0" w:color="auto"/>
                    <w:bottom w:val="none" w:sz="0" w:space="0" w:color="auto"/>
                    <w:right w:val="none" w:sz="0" w:space="0" w:color="auto"/>
                  </w:divBdr>
                </w:div>
                <w:div w:id="1100757964">
                  <w:marLeft w:val="0"/>
                  <w:marRight w:val="0"/>
                  <w:marTop w:val="0"/>
                  <w:marBottom w:val="0"/>
                  <w:divBdr>
                    <w:top w:val="none" w:sz="0" w:space="0" w:color="auto"/>
                    <w:left w:val="none" w:sz="0" w:space="0" w:color="auto"/>
                    <w:bottom w:val="none" w:sz="0" w:space="0" w:color="auto"/>
                    <w:right w:val="none" w:sz="0" w:space="0" w:color="auto"/>
                  </w:divBdr>
                </w:div>
                <w:div w:id="494302011">
                  <w:marLeft w:val="0"/>
                  <w:marRight w:val="0"/>
                  <w:marTop w:val="0"/>
                  <w:marBottom w:val="0"/>
                  <w:divBdr>
                    <w:top w:val="none" w:sz="0" w:space="0" w:color="auto"/>
                    <w:left w:val="none" w:sz="0" w:space="0" w:color="auto"/>
                    <w:bottom w:val="none" w:sz="0" w:space="0" w:color="auto"/>
                    <w:right w:val="none" w:sz="0" w:space="0" w:color="auto"/>
                  </w:divBdr>
                </w:div>
                <w:div w:id="982197089">
                  <w:marLeft w:val="0"/>
                  <w:marRight w:val="0"/>
                  <w:marTop w:val="0"/>
                  <w:marBottom w:val="0"/>
                  <w:divBdr>
                    <w:top w:val="none" w:sz="0" w:space="0" w:color="auto"/>
                    <w:left w:val="none" w:sz="0" w:space="0" w:color="auto"/>
                    <w:bottom w:val="none" w:sz="0" w:space="0" w:color="auto"/>
                    <w:right w:val="none" w:sz="0" w:space="0" w:color="auto"/>
                  </w:divBdr>
                </w:div>
                <w:div w:id="1352024646">
                  <w:marLeft w:val="0"/>
                  <w:marRight w:val="0"/>
                  <w:marTop w:val="0"/>
                  <w:marBottom w:val="0"/>
                  <w:divBdr>
                    <w:top w:val="none" w:sz="0" w:space="0" w:color="auto"/>
                    <w:left w:val="none" w:sz="0" w:space="0" w:color="auto"/>
                    <w:bottom w:val="none" w:sz="0" w:space="0" w:color="auto"/>
                    <w:right w:val="none" w:sz="0" w:space="0" w:color="auto"/>
                  </w:divBdr>
                </w:div>
                <w:div w:id="992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787">
          <w:marLeft w:val="0"/>
          <w:marRight w:val="0"/>
          <w:marTop w:val="0"/>
          <w:marBottom w:val="0"/>
          <w:divBdr>
            <w:top w:val="none" w:sz="0" w:space="0" w:color="auto"/>
            <w:left w:val="none" w:sz="0" w:space="0" w:color="auto"/>
            <w:bottom w:val="none" w:sz="0" w:space="0" w:color="auto"/>
            <w:right w:val="none" w:sz="0" w:space="0" w:color="auto"/>
          </w:divBdr>
          <w:divsChild>
            <w:div w:id="518785116">
              <w:marLeft w:val="0"/>
              <w:marRight w:val="0"/>
              <w:marTop w:val="0"/>
              <w:marBottom w:val="0"/>
              <w:divBdr>
                <w:top w:val="none" w:sz="0" w:space="0" w:color="auto"/>
                <w:left w:val="none" w:sz="0" w:space="0" w:color="auto"/>
                <w:bottom w:val="none" w:sz="0" w:space="0" w:color="auto"/>
                <w:right w:val="none" w:sz="0" w:space="0" w:color="auto"/>
              </w:divBdr>
              <w:divsChild>
                <w:div w:id="646008656">
                  <w:marLeft w:val="0"/>
                  <w:marRight w:val="0"/>
                  <w:marTop w:val="0"/>
                  <w:marBottom w:val="0"/>
                  <w:divBdr>
                    <w:top w:val="none" w:sz="0" w:space="0" w:color="auto"/>
                    <w:left w:val="none" w:sz="0" w:space="0" w:color="auto"/>
                    <w:bottom w:val="none" w:sz="0" w:space="0" w:color="auto"/>
                    <w:right w:val="none" w:sz="0" w:space="0" w:color="auto"/>
                  </w:divBdr>
                </w:div>
                <w:div w:id="1173449636">
                  <w:marLeft w:val="0"/>
                  <w:marRight w:val="0"/>
                  <w:marTop w:val="0"/>
                  <w:marBottom w:val="0"/>
                  <w:divBdr>
                    <w:top w:val="none" w:sz="0" w:space="0" w:color="auto"/>
                    <w:left w:val="none" w:sz="0" w:space="0" w:color="auto"/>
                    <w:bottom w:val="none" w:sz="0" w:space="0" w:color="auto"/>
                    <w:right w:val="none" w:sz="0" w:space="0" w:color="auto"/>
                  </w:divBdr>
                </w:div>
                <w:div w:id="260336702">
                  <w:marLeft w:val="0"/>
                  <w:marRight w:val="0"/>
                  <w:marTop w:val="0"/>
                  <w:marBottom w:val="0"/>
                  <w:divBdr>
                    <w:top w:val="none" w:sz="0" w:space="0" w:color="auto"/>
                    <w:left w:val="none" w:sz="0" w:space="0" w:color="auto"/>
                    <w:bottom w:val="none" w:sz="0" w:space="0" w:color="auto"/>
                    <w:right w:val="none" w:sz="0" w:space="0" w:color="auto"/>
                  </w:divBdr>
                </w:div>
                <w:div w:id="857308481">
                  <w:marLeft w:val="0"/>
                  <w:marRight w:val="0"/>
                  <w:marTop w:val="0"/>
                  <w:marBottom w:val="0"/>
                  <w:divBdr>
                    <w:top w:val="none" w:sz="0" w:space="0" w:color="auto"/>
                    <w:left w:val="none" w:sz="0" w:space="0" w:color="auto"/>
                    <w:bottom w:val="none" w:sz="0" w:space="0" w:color="auto"/>
                    <w:right w:val="none" w:sz="0" w:space="0" w:color="auto"/>
                  </w:divBdr>
                </w:div>
                <w:div w:id="1203127583">
                  <w:marLeft w:val="0"/>
                  <w:marRight w:val="0"/>
                  <w:marTop w:val="0"/>
                  <w:marBottom w:val="0"/>
                  <w:divBdr>
                    <w:top w:val="none" w:sz="0" w:space="0" w:color="auto"/>
                    <w:left w:val="none" w:sz="0" w:space="0" w:color="auto"/>
                    <w:bottom w:val="none" w:sz="0" w:space="0" w:color="auto"/>
                    <w:right w:val="none" w:sz="0" w:space="0" w:color="auto"/>
                  </w:divBdr>
                </w:div>
                <w:div w:id="1379863585">
                  <w:marLeft w:val="0"/>
                  <w:marRight w:val="0"/>
                  <w:marTop w:val="0"/>
                  <w:marBottom w:val="0"/>
                  <w:divBdr>
                    <w:top w:val="none" w:sz="0" w:space="0" w:color="auto"/>
                    <w:left w:val="none" w:sz="0" w:space="0" w:color="auto"/>
                    <w:bottom w:val="none" w:sz="0" w:space="0" w:color="auto"/>
                    <w:right w:val="none" w:sz="0" w:space="0" w:color="auto"/>
                  </w:divBdr>
                </w:div>
                <w:div w:id="1625042029">
                  <w:marLeft w:val="0"/>
                  <w:marRight w:val="0"/>
                  <w:marTop w:val="0"/>
                  <w:marBottom w:val="0"/>
                  <w:divBdr>
                    <w:top w:val="none" w:sz="0" w:space="0" w:color="auto"/>
                    <w:left w:val="none" w:sz="0" w:space="0" w:color="auto"/>
                    <w:bottom w:val="none" w:sz="0" w:space="0" w:color="auto"/>
                    <w:right w:val="none" w:sz="0" w:space="0" w:color="auto"/>
                  </w:divBdr>
                </w:div>
                <w:div w:id="1911038838">
                  <w:marLeft w:val="0"/>
                  <w:marRight w:val="0"/>
                  <w:marTop w:val="0"/>
                  <w:marBottom w:val="0"/>
                  <w:divBdr>
                    <w:top w:val="none" w:sz="0" w:space="0" w:color="auto"/>
                    <w:left w:val="none" w:sz="0" w:space="0" w:color="auto"/>
                    <w:bottom w:val="none" w:sz="0" w:space="0" w:color="auto"/>
                    <w:right w:val="none" w:sz="0" w:space="0" w:color="auto"/>
                  </w:divBdr>
                </w:div>
                <w:div w:id="1884749895">
                  <w:marLeft w:val="0"/>
                  <w:marRight w:val="0"/>
                  <w:marTop w:val="0"/>
                  <w:marBottom w:val="0"/>
                  <w:divBdr>
                    <w:top w:val="none" w:sz="0" w:space="0" w:color="auto"/>
                    <w:left w:val="none" w:sz="0" w:space="0" w:color="auto"/>
                    <w:bottom w:val="none" w:sz="0" w:space="0" w:color="auto"/>
                    <w:right w:val="none" w:sz="0" w:space="0" w:color="auto"/>
                  </w:divBdr>
                </w:div>
                <w:div w:id="426509554">
                  <w:marLeft w:val="0"/>
                  <w:marRight w:val="0"/>
                  <w:marTop w:val="0"/>
                  <w:marBottom w:val="0"/>
                  <w:divBdr>
                    <w:top w:val="none" w:sz="0" w:space="0" w:color="auto"/>
                    <w:left w:val="none" w:sz="0" w:space="0" w:color="auto"/>
                    <w:bottom w:val="none" w:sz="0" w:space="0" w:color="auto"/>
                    <w:right w:val="none" w:sz="0" w:space="0" w:color="auto"/>
                  </w:divBdr>
                </w:div>
                <w:div w:id="1362049927">
                  <w:marLeft w:val="0"/>
                  <w:marRight w:val="0"/>
                  <w:marTop w:val="0"/>
                  <w:marBottom w:val="0"/>
                  <w:divBdr>
                    <w:top w:val="none" w:sz="0" w:space="0" w:color="auto"/>
                    <w:left w:val="none" w:sz="0" w:space="0" w:color="auto"/>
                    <w:bottom w:val="none" w:sz="0" w:space="0" w:color="auto"/>
                    <w:right w:val="none" w:sz="0" w:space="0" w:color="auto"/>
                  </w:divBdr>
                </w:div>
                <w:div w:id="1082071086">
                  <w:marLeft w:val="0"/>
                  <w:marRight w:val="0"/>
                  <w:marTop w:val="0"/>
                  <w:marBottom w:val="0"/>
                  <w:divBdr>
                    <w:top w:val="none" w:sz="0" w:space="0" w:color="auto"/>
                    <w:left w:val="none" w:sz="0" w:space="0" w:color="auto"/>
                    <w:bottom w:val="none" w:sz="0" w:space="0" w:color="auto"/>
                    <w:right w:val="none" w:sz="0" w:space="0" w:color="auto"/>
                  </w:divBdr>
                </w:div>
                <w:div w:id="597760634">
                  <w:marLeft w:val="0"/>
                  <w:marRight w:val="0"/>
                  <w:marTop w:val="0"/>
                  <w:marBottom w:val="0"/>
                  <w:divBdr>
                    <w:top w:val="none" w:sz="0" w:space="0" w:color="auto"/>
                    <w:left w:val="none" w:sz="0" w:space="0" w:color="auto"/>
                    <w:bottom w:val="none" w:sz="0" w:space="0" w:color="auto"/>
                    <w:right w:val="none" w:sz="0" w:space="0" w:color="auto"/>
                  </w:divBdr>
                </w:div>
                <w:div w:id="1493983905">
                  <w:marLeft w:val="0"/>
                  <w:marRight w:val="0"/>
                  <w:marTop w:val="0"/>
                  <w:marBottom w:val="0"/>
                  <w:divBdr>
                    <w:top w:val="none" w:sz="0" w:space="0" w:color="auto"/>
                    <w:left w:val="none" w:sz="0" w:space="0" w:color="auto"/>
                    <w:bottom w:val="none" w:sz="0" w:space="0" w:color="auto"/>
                    <w:right w:val="none" w:sz="0" w:space="0" w:color="auto"/>
                  </w:divBdr>
                </w:div>
                <w:div w:id="1423336903">
                  <w:marLeft w:val="0"/>
                  <w:marRight w:val="0"/>
                  <w:marTop w:val="0"/>
                  <w:marBottom w:val="0"/>
                  <w:divBdr>
                    <w:top w:val="none" w:sz="0" w:space="0" w:color="auto"/>
                    <w:left w:val="none" w:sz="0" w:space="0" w:color="auto"/>
                    <w:bottom w:val="none" w:sz="0" w:space="0" w:color="auto"/>
                    <w:right w:val="none" w:sz="0" w:space="0" w:color="auto"/>
                  </w:divBdr>
                </w:div>
                <w:div w:id="449981323">
                  <w:marLeft w:val="0"/>
                  <w:marRight w:val="0"/>
                  <w:marTop w:val="0"/>
                  <w:marBottom w:val="0"/>
                  <w:divBdr>
                    <w:top w:val="none" w:sz="0" w:space="0" w:color="auto"/>
                    <w:left w:val="none" w:sz="0" w:space="0" w:color="auto"/>
                    <w:bottom w:val="none" w:sz="0" w:space="0" w:color="auto"/>
                    <w:right w:val="none" w:sz="0" w:space="0" w:color="auto"/>
                  </w:divBdr>
                </w:div>
                <w:div w:id="2064481107">
                  <w:marLeft w:val="0"/>
                  <w:marRight w:val="0"/>
                  <w:marTop w:val="0"/>
                  <w:marBottom w:val="0"/>
                  <w:divBdr>
                    <w:top w:val="none" w:sz="0" w:space="0" w:color="auto"/>
                    <w:left w:val="none" w:sz="0" w:space="0" w:color="auto"/>
                    <w:bottom w:val="none" w:sz="0" w:space="0" w:color="auto"/>
                    <w:right w:val="none" w:sz="0" w:space="0" w:color="auto"/>
                  </w:divBdr>
                </w:div>
                <w:div w:id="1453476335">
                  <w:marLeft w:val="0"/>
                  <w:marRight w:val="0"/>
                  <w:marTop w:val="0"/>
                  <w:marBottom w:val="0"/>
                  <w:divBdr>
                    <w:top w:val="none" w:sz="0" w:space="0" w:color="auto"/>
                    <w:left w:val="none" w:sz="0" w:space="0" w:color="auto"/>
                    <w:bottom w:val="none" w:sz="0" w:space="0" w:color="auto"/>
                    <w:right w:val="none" w:sz="0" w:space="0" w:color="auto"/>
                  </w:divBdr>
                </w:div>
                <w:div w:id="2008361326">
                  <w:marLeft w:val="0"/>
                  <w:marRight w:val="0"/>
                  <w:marTop w:val="0"/>
                  <w:marBottom w:val="0"/>
                  <w:divBdr>
                    <w:top w:val="none" w:sz="0" w:space="0" w:color="auto"/>
                    <w:left w:val="none" w:sz="0" w:space="0" w:color="auto"/>
                    <w:bottom w:val="none" w:sz="0" w:space="0" w:color="auto"/>
                    <w:right w:val="none" w:sz="0" w:space="0" w:color="auto"/>
                  </w:divBdr>
                </w:div>
                <w:div w:id="2015764391">
                  <w:marLeft w:val="0"/>
                  <w:marRight w:val="0"/>
                  <w:marTop w:val="0"/>
                  <w:marBottom w:val="0"/>
                  <w:divBdr>
                    <w:top w:val="none" w:sz="0" w:space="0" w:color="auto"/>
                    <w:left w:val="none" w:sz="0" w:space="0" w:color="auto"/>
                    <w:bottom w:val="none" w:sz="0" w:space="0" w:color="auto"/>
                    <w:right w:val="none" w:sz="0" w:space="0" w:color="auto"/>
                  </w:divBdr>
                </w:div>
                <w:div w:id="1674843213">
                  <w:marLeft w:val="0"/>
                  <w:marRight w:val="0"/>
                  <w:marTop w:val="0"/>
                  <w:marBottom w:val="0"/>
                  <w:divBdr>
                    <w:top w:val="none" w:sz="0" w:space="0" w:color="auto"/>
                    <w:left w:val="none" w:sz="0" w:space="0" w:color="auto"/>
                    <w:bottom w:val="none" w:sz="0" w:space="0" w:color="auto"/>
                    <w:right w:val="none" w:sz="0" w:space="0" w:color="auto"/>
                  </w:divBdr>
                </w:div>
                <w:div w:id="1848709436">
                  <w:marLeft w:val="0"/>
                  <w:marRight w:val="0"/>
                  <w:marTop w:val="0"/>
                  <w:marBottom w:val="0"/>
                  <w:divBdr>
                    <w:top w:val="none" w:sz="0" w:space="0" w:color="auto"/>
                    <w:left w:val="none" w:sz="0" w:space="0" w:color="auto"/>
                    <w:bottom w:val="none" w:sz="0" w:space="0" w:color="auto"/>
                    <w:right w:val="none" w:sz="0" w:space="0" w:color="auto"/>
                  </w:divBdr>
                </w:div>
                <w:div w:id="1045831817">
                  <w:marLeft w:val="0"/>
                  <w:marRight w:val="0"/>
                  <w:marTop w:val="0"/>
                  <w:marBottom w:val="0"/>
                  <w:divBdr>
                    <w:top w:val="none" w:sz="0" w:space="0" w:color="auto"/>
                    <w:left w:val="none" w:sz="0" w:space="0" w:color="auto"/>
                    <w:bottom w:val="none" w:sz="0" w:space="0" w:color="auto"/>
                    <w:right w:val="none" w:sz="0" w:space="0" w:color="auto"/>
                  </w:divBdr>
                </w:div>
                <w:div w:id="915866571">
                  <w:marLeft w:val="0"/>
                  <w:marRight w:val="0"/>
                  <w:marTop w:val="0"/>
                  <w:marBottom w:val="0"/>
                  <w:divBdr>
                    <w:top w:val="none" w:sz="0" w:space="0" w:color="auto"/>
                    <w:left w:val="none" w:sz="0" w:space="0" w:color="auto"/>
                    <w:bottom w:val="none" w:sz="0" w:space="0" w:color="auto"/>
                    <w:right w:val="none" w:sz="0" w:space="0" w:color="auto"/>
                  </w:divBdr>
                </w:div>
                <w:div w:id="383871921">
                  <w:marLeft w:val="0"/>
                  <w:marRight w:val="0"/>
                  <w:marTop w:val="0"/>
                  <w:marBottom w:val="0"/>
                  <w:divBdr>
                    <w:top w:val="none" w:sz="0" w:space="0" w:color="auto"/>
                    <w:left w:val="none" w:sz="0" w:space="0" w:color="auto"/>
                    <w:bottom w:val="none" w:sz="0" w:space="0" w:color="auto"/>
                    <w:right w:val="none" w:sz="0" w:space="0" w:color="auto"/>
                  </w:divBdr>
                </w:div>
                <w:div w:id="2082674081">
                  <w:marLeft w:val="0"/>
                  <w:marRight w:val="0"/>
                  <w:marTop w:val="0"/>
                  <w:marBottom w:val="0"/>
                  <w:divBdr>
                    <w:top w:val="none" w:sz="0" w:space="0" w:color="auto"/>
                    <w:left w:val="none" w:sz="0" w:space="0" w:color="auto"/>
                    <w:bottom w:val="none" w:sz="0" w:space="0" w:color="auto"/>
                    <w:right w:val="none" w:sz="0" w:space="0" w:color="auto"/>
                  </w:divBdr>
                </w:div>
                <w:div w:id="1107624537">
                  <w:marLeft w:val="0"/>
                  <w:marRight w:val="0"/>
                  <w:marTop w:val="0"/>
                  <w:marBottom w:val="0"/>
                  <w:divBdr>
                    <w:top w:val="none" w:sz="0" w:space="0" w:color="auto"/>
                    <w:left w:val="none" w:sz="0" w:space="0" w:color="auto"/>
                    <w:bottom w:val="none" w:sz="0" w:space="0" w:color="auto"/>
                    <w:right w:val="none" w:sz="0" w:space="0" w:color="auto"/>
                  </w:divBdr>
                </w:div>
                <w:div w:id="630525841">
                  <w:marLeft w:val="0"/>
                  <w:marRight w:val="0"/>
                  <w:marTop w:val="0"/>
                  <w:marBottom w:val="0"/>
                  <w:divBdr>
                    <w:top w:val="none" w:sz="0" w:space="0" w:color="auto"/>
                    <w:left w:val="none" w:sz="0" w:space="0" w:color="auto"/>
                    <w:bottom w:val="none" w:sz="0" w:space="0" w:color="auto"/>
                    <w:right w:val="none" w:sz="0" w:space="0" w:color="auto"/>
                  </w:divBdr>
                </w:div>
                <w:div w:id="1113282401">
                  <w:marLeft w:val="0"/>
                  <w:marRight w:val="0"/>
                  <w:marTop w:val="0"/>
                  <w:marBottom w:val="0"/>
                  <w:divBdr>
                    <w:top w:val="none" w:sz="0" w:space="0" w:color="auto"/>
                    <w:left w:val="none" w:sz="0" w:space="0" w:color="auto"/>
                    <w:bottom w:val="none" w:sz="0" w:space="0" w:color="auto"/>
                    <w:right w:val="none" w:sz="0" w:space="0" w:color="auto"/>
                  </w:divBdr>
                </w:div>
                <w:div w:id="1016346379">
                  <w:marLeft w:val="0"/>
                  <w:marRight w:val="0"/>
                  <w:marTop w:val="0"/>
                  <w:marBottom w:val="0"/>
                  <w:divBdr>
                    <w:top w:val="none" w:sz="0" w:space="0" w:color="auto"/>
                    <w:left w:val="none" w:sz="0" w:space="0" w:color="auto"/>
                    <w:bottom w:val="none" w:sz="0" w:space="0" w:color="auto"/>
                    <w:right w:val="none" w:sz="0" w:space="0" w:color="auto"/>
                  </w:divBdr>
                </w:div>
                <w:div w:id="1193155669">
                  <w:marLeft w:val="0"/>
                  <w:marRight w:val="0"/>
                  <w:marTop w:val="0"/>
                  <w:marBottom w:val="0"/>
                  <w:divBdr>
                    <w:top w:val="none" w:sz="0" w:space="0" w:color="auto"/>
                    <w:left w:val="none" w:sz="0" w:space="0" w:color="auto"/>
                    <w:bottom w:val="none" w:sz="0" w:space="0" w:color="auto"/>
                    <w:right w:val="none" w:sz="0" w:space="0" w:color="auto"/>
                  </w:divBdr>
                </w:div>
                <w:div w:id="2068869346">
                  <w:marLeft w:val="0"/>
                  <w:marRight w:val="0"/>
                  <w:marTop w:val="0"/>
                  <w:marBottom w:val="0"/>
                  <w:divBdr>
                    <w:top w:val="none" w:sz="0" w:space="0" w:color="auto"/>
                    <w:left w:val="none" w:sz="0" w:space="0" w:color="auto"/>
                    <w:bottom w:val="none" w:sz="0" w:space="0" w:color="auto"/>
                    <w:right w:val="none" w:sz="0" w:space="0" w:color="auto"/>
                  </w:divBdr>
                </w:div>
                <w:div w:id="789670730">
                  <w:marLeft w:val="0"/>
                  <w:marRight w:val="0"/>
                  <w:marTop w:val="0"/>
                  <w:marBottom w:val="0"/>
                  <w:divBdr>
                    <w:top w:val="none" w:sz="0" w:space="0" w:color="auto"/>
                    <w:left w:val="none" w:sz="0" w:space="0" w:color="auto"/>
                    <w:bottom w:val="none" w:sz="0" w:space="0" w:color="auto"/>
                    <w:right w:val="none" w:sz="0" w:space="0" w:color="auto"/>
                  </w:divBdr>
                </w:div>
                <w:div w:id="766001284">
                  <w:marLeft w:val="0"/>
                  <w:marRight w:val="0"/>
                  <w:marTop w:val="0"/>
                  <w:marBottom w:val="0"/>
                  <w:divBdr>
                    <w:top w:val="none" w:sz="0" w:space="0" w:color="auto"/>
                    <w:left w:val="none" w:sz="0" w:space="0" w:color="auto"/>
                    <w:bottom w:val="none" w:sz="0" w:space="0" w:color="auto"/>
                    <w:right w:val="none" w:sz="0" w:space="0" w:color="auto"/>
                  </w:divBdr>
                </w:div>
                <w:div w:id="317004987">
                  <w:marLeft w:val="0"/>
                  <w:marRight w:val="0"/>
                  <w:marTop w:val="0"/>
                  <w:marBottom w:val="0"/>
                  <w:divBdr>
                    <w:top w:val="none" w:sz="0" w:space="0" w:color="auto"/>
                    <w:left w:val="none" w:sz="0" w:space="0" w:color="auto"/>
                    <w:bottom w:val="none" w:sz="0" w:space="0" w:color="auto"/>
                    <w:right w:val="none" w:sz="0" w:space="0" w:color="auto"/>
                  </w:divBdr>
                </w:div>
                <w:div w:id="815955524">
                  <w:marLeft w:val="0"/>
                  <w:marRight w:val="0"/>
                  <w:marTop w:val="0"/>
                  <w:marBottom w:val="0"/>
                  <w:divBdr>
                    <w:top w:val="none" w:sz="0" w:space="0" w:color="auto"/>
                    <w:left w:val="none" w:sz="0" w:space="0" w:color="auto"/>
                    <w:bottom w:val="none" w:sz="0" w:space="0" w:color="auto"/>
                    <w:right w:val="none" w:sz="0" w:space="0" w:color="auto"/>
                  </w:divBdr>
                </w:div>
                <w:div w:id="308097009">
                  <w:marLeft w:val="0"/>
                  <w:marRight w:val="0"/>
                  <w:marTop w:val="0"/>
                  <w:marBottom w:val="0"/>
                  <w:divBdr>
                    <w:top w:val="none" w:sz="0" w:space="0" w:color="auto"/>
                    <w:left w:val="none" w:sz="0" w:space="0" w:color="auto"/>
                    <w:bottom w:val="none" w:sz="0" w:space="0" w:color="auto"/>
                    <w:right w:val="none" w:sz="0" w:space="0" w:color="auto"/>
                  </w:divBdr>
                </w:div>
                <w:div w:id="1276788572">
                  <w:marLeft w:val="0"/>
                  <w:marRight w:val="0"/>
                  <w:marTop w:val="0"/>
                  <w:marBottom w:val="0"/>
                  <w:divBdr>
                    <w:top w:val="none" w:sz="0" w:space="0" w:color="auto"/>
                    <w:left w:val="none" w:sz="0" w:space="0" w:color="auto"/>
                    <w:bottom w:val="none" w:sz="0" w:space="0" w:color="auto"/>
                    <w:right w:val="none" w:sz="0" w:space="0" w:color="auto"/>
                  </w:divBdr>
                </w:div>
                <w:div w:id="1033000694">
                  <w:marLeft w:val="0"/>
                  <w:marRight w:val="0"/>
                  <w:marTop w:val="0"/>
                  <w:marBottom w:val="0"/>
                  <w:divBdr>
                    <w:top w:val="none" w:sz="0" w:space="0" w:color="auto"/>
                    <w:left w:val="none" w:sz="0" w:space="0" w:color="auto"/>
                    <w:bottom w:val="none" w:sz="0" w:space="0" w:color="auto"/>
                    <w:right w:val="none" w:sz="0" w:space="0" w:color="auto"/>
                  </w:divBdr>
                </w:div>
                <w:div w:id="1004478130">
                  <w:marLeft w:val="0"/>
                  <w:marRight w:val="0"/>
                  <w:marTop w:val="0"/>
                  <w:marBottom w:val="0"/>
                  <w:divBdr>
                    <w:top w:val="none" w:sz="0" w:space="0" w:color="auto"/>
                    <w:left w:val="none" w:sz="0" w:space="0" w:color="auto"/>
                    <w:bottom w:val="none" w:sz="0" w:space="0" w:color="auto"/>
                    <w:right w:val="none" w:sz="0" w:space="0" w:color="auto"/>
                  </w:divBdr>
                </w:div>
                <w:div w:id="3649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3562">
      <w:bodyDiv w:val="1"/>
      <w:marLeft w:val="0"/>
      <w:marRight w:val="0"/>
      <w:marTop w:val="0"/>
      <w:marBottom w:val="0"/>
      <w:divBdr>
        <w:top w:val="none" w:sz="0" w:space="0" w:color="auto"/>
        <w:left w:val="none" w:sz="0" w:space="0" w:color="auto"/>
        <w:bottom w:val="none" w:sz="0" w:space="0" w:color="auto"/>
        <w:right w:val="none" w:sz="0" w:space="0" w:color="auto"/>
      </w:divBdr>
      <w:divsChild>
        <w:div w:id="1485926207">
          <w:marLeft w:val="0"/>
          <w:marRight w:val="0"/>
          <w:marTop w:val="0"/>
          <w:marBottom w:val="0"/>
          <w:divBdr>
            <w:top w:val="none" w:sz="0" w:space="0" w:color="auto"/>
            <w:left w:val="none" w:sz="0" w:space="0" w:color="auto"/>
            <w:bottom w:val="none" w:sz="0" w:space="0" w:color="auto"/>
            <w:right w:val="none" w:sz="0" w:space="0" w:color="auto"/>
          </w:divBdr>
          <w:divsChild>
            <w:div w:id="1351681487">
              <w:marLeft w:val="0"/>
              <w:marRight w:val="0"/>
              <w:marTop w:val="0"/>
              <w:marBottom w:val="0"/>
              <w:divBdr>
                <w:top w:val="none" w:sz="0" w:space="0" w:color="auto"/>
                <w:left w:val="none" w:sz="0" w:space="0" w:color="auto"/>
                <w:bottom w:val="none" w:sz="0" w:space="0" w:color="auto"/>
                <w:right w:val="none" w:sz="0" w:space="0" w:color="auto"/>
              </w:divBdr>
              <w:divsChild>
                <w:div w:id="4728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0BA8-375B-48B0-A089-B451C2B4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Landry, AnneJohnson (SEN)</cp:lastModifiedBy>
  <cp:revision>2</cp:revision>
  <cp:lastPrinted>2016-01-19T21:42:00Z</cp:lastPrinted>
  <dcterms:created xsi:type="dcterms:W3CDTF">2016-02-11T15:02:00Z</dcterms:created>
  <dcterms:modified xsi:type="dcterms:W3CDTF">2016-02-11T15:02:00Z</dcterms:modified>
</cp:coreProperties>
</file>